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91"/>
        <w:ind w:left="426" w:right="-144"/>
        <w:jc w:val="center"/>
        <w:tabs>
          <w:tab w:val="right" w:pos="9345" w:leader="dot"/>
        </w:tabs>
        <w:rPr>
          <w:sz w:val="28"/>
          <w:szCs w:val="28"/>
        </w:rPr>
        <w:sectPr>
          <w:footerReference w:type="default" r:id="rId9"/>
          <w:footnotePr/>
          <w:endnotePr/>
          <w:type w:val="nextPage"/>
          <w:pgSz w:w="11906" w:h="16838" w:orient="portrait"/>
          <w:pgMar w:top="0" w:right="851" w:bottom="1134" w:left="0" w:header="709" w:footer="709" w:gutter="0"/>
          <w:cols w:num="1" w:sep="0" w:space="708" w:equalWidth="1"/>
          <w:docGrid w:linePitch="360"/>
        </w:sect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019925" cy="9926967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721836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7019924" cy="99269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52.8pt;height:781.7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/>
      <w:r/>
    </w:p>
    <w:p>
      <w:pPr>
        <w:pStyle w:val="891"/>
        <w:jc w:val="center"/>
        <w:tabs>
          <w:tab w:val="right" w:pos="9345" w:leader="dot"/>
        </w:tabs>
        <w:rPr>
          <w:sz w:val="28"/>
          <w:szCs w:val="28"/>
        </w:rPr>
      </w:pPr>
      <w:r>
        <w:rPr>
          <w:sz w:val="28"/>
          <w:szCs w:val="28"/>
        </w:rPr>
        <w:t xml:space="preserve">Содержание</w:t>
      </w:r>
      <w:r/>
    </w:p>
    <w:p>
      <w:r/>
      <w:r/>
    </w:p>
    <w:p>
      <w:pPr>
        <w:pStyle w:val="891"/>
        <w:tabs>
          <w:tab w:val="left" w:pos="400" w:leader="none"/>
          <w:tab w:val="right" w:pos="9345" w:leader="dot"/>
        </w:tabs>
        <w:rPr>
          <w:rFonts w:asciiTheme="minorHAnsi" w:hAnsiTheme="minorHAnsi" w:eastAsiaTheme="minorEastAsia" w:cstheme="minorBidi"/>
          <w:sz w:val="28"/>
          <w:szCs w:val="28"/>
          <w14:ligatures w14:val="standardContextual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TOC \o "1-3" \h \z \u </w:instrText>
      </w:r>
      <w:r>
        <w:rPr>
          <w:sz w:val="28"/>
          <w:szCs w:val="28"/>
        </w:rPr>
        <w:fldChar w:fldCharType="separate"/>
      </w:r>
      <w:hyperlink w:tooltip="#_Toc156137919" w:anchor="_Toc156137919" w:history="1">
        <w:r>
          <w:rPr>
            <w:rStyle w:val="884"/>
            <w:b/>
            <w:bCs/>
            <w:smallCaps/>
            <w:sz w:val="28"/>
            <w:szCs w:val="28"/>
          </w:rPr>
          <w:t xml:space="preserve">1.</w:t>
        </w:r>
        <w:r>
          <w:rPr>
            <w:rFonts w:asciiTheme="minorHAnsi" w:hAnsiTheme="minorHAnsi" w:eastAsiaTheme="minorEastAsia" w:cstheme="minorBidi"/>
            <w:sz w:val="28"/>
            <w:szCs w:val="28"/>
            <w14:ligatures w14:val="standardContextual"/>
          </w:rPr>
          <w:tab/>
        </w:r>
        <w:r>
          <w:rPr>
            <w:rStyle w:val="884"/>
            <w:b/>
            <w:smallCaps/>
            <w:sz w:val="28"/>
            <w:szCs w:val="28"/>
          </w:rPr>
          <w:t xml:space="preserve">ЦЕЛИ И ЗАДАЧИ ВЫПУСКНОЙ КВАЛИФИКАЦИОННОЙ РАБОТЫ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_Toc156137919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 xml:space="preserve">3</w:t>
        </w:r>
        <w:r>
          <w:rPr>
            <w:sz w:val="28"/>
            <w:szCs w:val="28"/>
          </w:rPr>
          <w:fldChar w:fldCharType="end"/>
        </w:r>
      </w:hyperlink>
      <w:r/>
      <w:r/>
    </w:p>
    <w:p>
      <w:pPr>
        <w:pStyle w:val="891"/>
        <w:tabs>
          <w:tab w:val="left" w:pos="400" w:leader="none"/>
          <w:tab w:val="right" w:pos="9345" w:leader="dot"/>
        </w:tabs>
        <w:rPr>
          <w:rFonts w:asciiTheme="minorHAnsi" w:hAnsiTheme="minorHAnsi" w:eastAsiaTheme="minorEastAsia" w:cstheme="minorBidi"/>
          <w:sz w:val="28"/>
          <w:szCs w:val="28"/>
          <w14:ligatures w14:val="standardContextual"/>
        </w:rPr>
      </w:pPr>
      <w:r/>
      <w:hyperlink w:tooltip="#_Toc156137920" w:anchor="_Toc156137920" w:history="1">
        <w:r>
          <w:rPr>
            <w:rStyle w:val="884"/>
            <w:b/>
            <w:bCs/>
            <w:iCs/>
            <w:caps/>
            <w:sz w:val="28"/>
            <w:szCs w:val="28"/>
          </w:rPr>
          <w:t xml:space="preserve">2.</w:t>
        </w:r>
        <w:r>
          <w:rPr>
            <w:rFonts w:asciiTheme="minorHAnsi" w:hAnsiTheme="minorHAnsi" w:eastAsiaTheme="minorEastAsia" w:cstheme="minorBidi"/>
            <w:sz w:val="28"/>
            <w:szCs w:val="28"/>
            <w14:ligatures w14:val="standardContextual"/>
          </w:rPr>
          <w:tab/>
        </w:r>
        <w:r>
          <w:rPr>
            <w:rStyle w:val="884"/>
            <w:b/>
            <w:caps/>
            <w:sz w:val="28"/>
            <w:szCs w:val="28"/>
          </w:rPr>
          <w:t xml:space="preserve">Перечень компетенций, которые должны быть продемонстрированы обучающимися при подготовке и защите ВКР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_Toc156137920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 xml:space="preserve">4</w:t>
        </w:r>
        <w:r>
          <w:rPr>
            <w:sz w:val="28"/>
            <w:szCs w:val="28"/>
          </w:rPr>
          <w:fldChar w:fldCharType="end"/>
        </w:r>
      </w:hyperlink>
      <w:r/>
      <w:r/>
    </w:p>
    <w:p>
      <w:pPr>
        <w:pStyle w:val="891"/>
        <w:tabs>
          <w:tab w:val="left" w:pos="400" w:leader="none"/>
          <w:tab w:val="right" w:pos="9345" w:leader="dot"/>
        </w:tabs>
        <w:rPr>
          <w:rFonts w:asciiTheme="minorHAnsi" w:hAnsiTheme="minorHAnsi" w:eastAsiaTheme="minorEastAsia" w:cstheme="minorBidi"/>
          <w:sz w:val="28"/>
          <w:szCs w:val="28"/>
          <w14:ligatures w14:val="standardContextual"/>
        </w:rPr>
      </w:pPr>
      <w:r/>
      <w:hyperlink w:tooltip="#_Toc156137921" w:anchor="_Toc156137921" w:history="1">
        <w:r>
          <w:rPr>
            <w:rStyle w:val="884"/>
            <w:b/>
            <w:bCs/>
            <w:sz w:val="28"/>
            <w:szCs w:val="28"/>
          </w:rPr>
          <w:t xml:space="preserve">3.</w:t>
        </w:r>
        <w:r>
          <w:rPr>
            <w:rFonts w:asciiTheme="minorHAnsi" w:hAnsiTheme="minorHAnsi" w:eastAsiaTheme="minorEastAsia" w:cstheme="minorBidi"/>
            <w:sz w:val="28"/>
            <w:szCs w:val="28"/>
            <w14:ligatures w14:val="standardContextual"/>
          </w:rPr>
          <w:tab/>
        </w:r>
        <w:r>
          <w:rPr>
            <w:rStyle w:val="884"/>
            <w:b/>
            <w:sz w:val="28"/>
            <w:szCs w:val="28"/>
          </w:rPr>
          <w:t xml:space="preserve">ТЕМАТИКА И ПОРЯДОК УТВЕРЖДЕНИЯ ТЕМ КВАЛИФИКАЦИОННЫХ РАБОТ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_Toc156137921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 xml:space="preserve">6</w:t>
        </w:r>
        <w:r>
          <w:rPr>
            <w:sz w:val="28"/>
            <w:szCs w:val="28"/>
          </w:rPr>
          <w:fldChar w:fldCharType="end"/>
        </w:r>
      </w:hyperlink>
      <w:r/>
      <w:r/>
    </w:p>
    <w:p>
      <w:pPr>
        <w:pStyle w:val="891"/>
        <w:tabs>
          <w:tab w:val="left" w:pos="400" w:leader="none"/>
          <w:tab w:val="right" w:pos="9345" w:leader="dot"/>
        </w:tabs>
        <w:rPr>
          <w:rFonts w:asciiTheme="minorHAnsi" w:hAnsiTheme="minorHAnsi" w:eastAsiaTheme="minorEastAsia" w:cstheme="minorBidi"/>
          <w:sz w:val="28"/>
          <w:szCs w:val="28"/>
          <w14:ligatures w14:val="standardContextual"/>
        </w:rPr>
      </w:pPr>
      <w:r/>
      <w:hyperlink w:tooltip="#_Toc156137922" w:anchor="_Toc156137922" w:history="1">
        <w:r>
          <w:rPr>
            <w:rStyle w:val="884"/>
            <w:b/>
            <w:bCs/>
            <w:sz w:val="28"/>
            <w:szCs w:val="28"/>
          </w:rPr>
          <w:t xml:space="preserve">4.</w:t>
        </w:r>
        <w:r>
          <w:rPr>
            <w:rFonts w:asciiTheme="minorHAnsi" w:hAnsiTheme="minorHAnsi" w:eastAsiaTheme="minorEastAsia" w:cstheme="minorBidi"/>
            <w:sz w:val="28"/>
            <w:szCs w:val="28"/>
            <w14:ligatures w14:val="standardContextual"/>
          </w:rPr>
          <w:tab/>
        </w:r>
        <w:r>
          <w:rPr>
            <w:rStyle w:val="884"/>
            <w:b/>
            <w:sz w:val="28"/>
            <w:szCs w:val="28"/>
          </w:rPr>
          <w:t xml:space="preserve">НАУЧНОЕ РУКОВОДСТВО</w:t>
        </w:r>
        <w:r>
          <w:rPr>
            <w:rStyle w:val="884"/>
            <w:sz w:val="28"/>
            <w:szCs w:val="28"/>
          </w:rPr>
          <w:t xml:space="preserve"> </w:t>
        </w:r>
        <w:r>
          <w:rPr>
            <w:rStyle w:val="884"/>
            <w:b/>
            <w:sz w:val="28"/>
            <w:szCs w:val="28"/>
          </w:rPr>
          <w:t xml:space="preserve">ВЫПУСКНЫМИ КВАЛИФИКАЦИОННЫМИ РАБОТАМИ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_Toc156137922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 xml:space="preserve">7</w:t>
        </w:r>
        <w:r>
          <w:rPr>
            <w:sz w:val="28"/>
            <w:szCs w:val="28"/>
          </w:rPr>
          <w:fldChar w:fldCharType="end"/>
        </w:r>
      </w:hyperlink>
      <w:r/>
      <w:r/>
    </w:p>
    <w:p>
      <w:pPr>
        <w:pStyle w:val="892"/>
        <w:tabs>
          <w:tab w:val="left" w:pos="850" w:leader="none"/>
          <w:tab w:val="right" w:pos="9345" w:leader="dot"/>
        </w:tabs>
        <w:rPr>
          <w:rFonts w:asciiTheme="minorHAnsi" w:hAnsiTheme="minorHAnsi" w:eastAsiaTheme="minorEastAsia" w:cstheme="minorBidi"/>
          <w:sz w:val="28"/>
          <w:szCs w:val="28"/>
          <w14:ligatures w14:val="standardContextual"/>
        </w:rPr>
      </w:pPr>
      <w:r/>
      <w:hyperlink w:tooltip="#_Toc156137923" w:anchor="_Toc156137923" w:history="1">
        <w:r>
          <w:rPr>
            <w:rStyle w:val="884"/>
            <w:sz w:val="28"/>
            <w:szCs w:val="28"/>
          </w:rPr>
          <w:t xml:space="preserve">4.1.</w:t>
        </w:r>
        <w:r>
          <w:rPr>
            <w:rFonts w:asciiTheme="minorHAnsi" w:hAnsiTheme="minorHAnsi" w:eastAsiaTheme="minorEastAsia" w:cstheme="minorBidi"/>
            <w:sz w:val="28"/>
            <w:szCs w:val="28"/>
            <w14:ligatures w14:val="standardContextual"/>
          </w:rPr>
          <w:tab/>
        </w:r>
        <w:r>
          <w:rPr>
            <w:rStyle w:val="884"/>
            <w:sz w:val="28"/>
            <w:szCs w:val="28"/>
          </w:rPr>
          <w:t xml:space="preserve">Порядок выполнения и предоставления выпускной квалификационной работы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_Toc156137923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 xml:space="preserve">8</w:t>
        </w:r>
        <w:r>
          <w:rPr>
            <w:sz w:val="28"/>
            <w:szCs w:val="28"/>
          </w:rPr>
          <w:fldChar w:fldCharType="end"/>
        </w:r>
      </w:hyperlink>
      <w:r/>
      <w:r/>
    </w:p>
    <w:p>
      <w:pPr>
        <w:pStyle w:val="891"/>
        <w:tabs>
          <w:tab w:val="left" w:pos="400" w:leader="none"/>
          <w:tab w:val="right" w:pos="9345" w:leader="dot"/>
        </w:tabs>
        <w:rPr>
          <w:rFonts w:asciiTheme="minorHAnsi" w:hAnsiTheme="minorHAnsi" w:eastAsiaTheme="minorEastAsia" w:cstheme="minorBidi"/>
          <w:sz w:val="28"/>
          <w:szCs w:val="28"/>
          <w14:ligatures w14:val="standardContextual"/>
        </w:rPr>
      </w:pPr>
      <w:r/>
      <w:hyperlink w:tooltip="#_Toc156137924" w:anchor="_Toc156137924" w:history="1">
        <w:r>
          <w:rPr>
            <w:rStyle w:val="884"/>
            <w:b/>
            <w:bCs/>
            <w:sz w:val="28"/>
            <w:szCs w:val="28"/>
          </w:rPr>
          <w:t xml:space="preserve">5.</w:t>
        </w:r>
        <w:r>
          <w:rPr>
            <w:rFonts w:asciiTheme="minorHAnsi" w:hAnsiTheme="minorHAnsi" w:eastAsiaTheme="minorEastAsia" w:cstheme="minorBidi"/>
            <w:sz w:val="28"/>
            <w:szCs w:val="28"/>
            <w14:ligatures w14:val="standardContextual"/>
          </w:rPr>
          <w:tab/>
        </w:r>
        <w:r>
          <w:rPr>
            <w:rStyle w:val="884"/>
            <w:b/>
            <w:sz w:val="28"/>
            <w:szCs w:val="28"/>
          </w:rPr>
          <w:t xml:space="preserve">СТРУКТУРА И СОДЕРЖАНИЕ ВКР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_Toc156137924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 xml:space="preserve">9</w:t>
        </w:r>
        <w:r>
          <w:rPr>
            <w:sz w:val="28"/>
            <w:szCs w:val="28"/>
          </w:rPr>
          <w:fldChar w:fldCharType="end"/>
        </w:r>
      </w:hyperlink>
      <w:r/>
      <w:r/>
    </w:p>
    <w:p>
      <w:pPr>
        <w:pStyle w:val="892"/>
        <w:tabs>
          <w:tab w:val="left" w:pos="850" w:leader="none"/>
          <w:tab w:val="right" w:pos="9345" w:leader="dot"/>
        </w:tabs>
        <w:rPr>
          <w:rFonts w:asciiTheme="minorHAnsi" w:hAnsiTheme="minorHAnsi" w:eastAsiaTheme="minorEastAsia" w:cstheme="minorBidi"/>
          <w:sz w:val="28"/>
          <w:szCs w:val="28"/>
          <w14:ligatures w14:val="standardContextual"/>
        </w:rPr>
      </w:pPr>
      <w:r/>
      <w:hyperlink w:tooltip="#_Toc156137925" w:anchor="_Toc156137925" w:history="1">
        <w:r>
          <w:rPr>
            <w:rStyle w:val="884"/>
            <w:sz w:val="28"/>
            <w:szCs w:val="28"/>
          </w:rPr>
          <w:t xml:space="preserve">5.1.</w:t>
        </w:r>
        <w:r>
          <w:rPr>
            <w:rFonts w:asciiTheme="minorHAnsi" w:hAnsiTheme="minorHAnsi" w:eastAsiaTheme="minorEastAsia" w:cstheme="minorBidi"/>
            <w:sz w:val="28"/>
            <w:szCs w:val="28"/>
            <w14:ligatures w14:val="standardContextual"/>
          </w:rPr>
          <w:tab/>
        </w:r>
        <w:r>
          <w:rPr>
            <w:rStyle w:val="884"/>
            <w:sz w:val="28"/>
            <w:szCs w:val="28"/>
          </w:rPr>
          <w:t xml:space="preserve">Работа над введением выпускной квалификационной работы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_Toc156137925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 xml:space="preserve">10</w:t>
        </w:r>
        <w:r>
          <w:rPr>
            <w:sz w:val="28"/>
            <w:szCs w:val="28"/>
          </w:rPr>
          <w:fldChar w:fldCharType="end"/>
        </w:r>
      </w:hyperlink>
      <w:r/>
      <w:r/>
    </w:p>
    <w:p>
      <w:pPr>
        <w:pStyle w:val="892"/>
        <w:tabs>
          <w:tab w:val="left" w:pos="850" w:leader="none"/>
          <w:tab w:val="right" w:pos="9345" w:leader="dot"/>
        </w:tabs>
        <w:rPr>
          <w:rFonts w:asciiTheme="minorHAnsi" w:hAnsiTheme="minorHAnsi" w:eastAsiaTheme="minorEastAsia" w:cstheme="minorBidi"/>
          <w:sz w:val="28"/>
          <w:szCs w:val="28"/>
          <w14:ligatures w14:val="standardContextual"/>
        </w:rPr>
      </w:pPr>
      <w:r/>
      <w:hyperlink w:tooltip="#_Toc156137926" w:anchor="_Toc156137926" w:history="1">
        <w:r>
          <w:rPr>
            <w:rStyle w:val="884"/>
            <w:sz w:val="28"/>
            <w:szCs w:val="28"/>
          </w:rPr>
          <w:t xml:space="preserve">5.2.</w:t>
        </w:r>
        <w:r>
          <w:rPr>
            <w:rFonts w:asciiTheme="minorHAnsi" w:hAnsiTheme="minorHAnsi" w:eastAsiaTheme="minorEastAsia" w:cstheme="minorBidi"/>
            <w:sz w:val="28"/>
            <w:szCs w:val="28"/>
            <w14:ligatures w14:val="standardContextual"/>
          </w:rPr>
          <w:tab/>
        </w:r>
        <w:r>
          <w:rPr>
            <w:rStyle w:val="884"/>
            <w:sz w:val="28"/>
            <w:szCs w:val="28"/>
          </w:rPr>
          <w:t xml:space="preserve">Этап написания основной части работы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_Toc156137926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 xml:space="preserve">12</w:t>
        </w:r>
        <w:r>
          <w:rPr>
            <w:sz w:val="28"/>
            <w:szCs w:val="28"/>
          </w:rPr>
          <w:fldChar w:fldCharType="end"/>
        </w:r>
      </w:hyperlink>
      <w:r/>
      <w:r/>
    </w:p>
    <w:p>
      <w:pPr>
        <w:pStyle w:val="893"/>
        <w:tabs>
          <w:tab w:val="left" w:pos="1134" w:leader="none"/>
          <w:tab w:val="right" w:pos="9345" w:leader="dot"/>
        </w:tabs>
        <w:rPr>
          <w:rFonts w:asciiTheme="minorHAnsi" w:hAnsiTheme="minorHAnsi" w:eastAsiaTheme="minorEastAsia" w:cstheme="minorBidi"/>
          <w:sz w:val="28"/>
          <w:szCs w:val="28"/>
          <w14:ligatures w14:val="standardContextual"/>
        </w:rPr>
      </w:pPr>
      <w:r/>
      <w:hyperlink w:tooltip="#_Toc156137927" w:anchor="_Toc156137927" w:history="1">
        <w:r>
          <w:rPr>
            <w:rStyle w:val="884"/>
            <w:sz w:val="28"/>
            <w:szCs w:val="28"/>
          </w:rPr>
          <w:t xml:space="preserve">5.2.1.</w:t>
        </w:r>
        <w:r>
          <w:rPr>
            <w:rFonts w:asciiTheme="minorHAnsi" w:hAnsiTheme="minorHAnsi" w:eastAsiaTheme="minorEastAsia" w:cstheme="minorBidi"/>
            <w:sz w:val="28"/>
            <w:szCs w:val="28"/>
            <w14:ligatures w14:val="standardContextual"/>
          </w:rPr>
          <w:tab/>
        </w:r>
        <w:r>
          <w:rPr>
            <w:rStyle w:val="884"/>
            <w:sz w:val="28"/>
            <w:szCs w:val="28"/>
          </w:rPr>
          <w:t xml:space="preserve">Теоретическая часть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_Toc156137927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 xml:space="preserve">12</w:t>
        </w:r>
        <w:r>
          <w:rPr>
            <w:sz w:val="28"/>
            <w:szCs w:val="28"/>
          </w:rPr>
          <w:fldChar w:fldCharType="end"/>
        </w:r>
      </w:hyperlink>
      <w:r/>
      <w:r/>
    </w:p>
    <w:p>
      <w:pPr>
        <w:pStyle w:val="893"/>
        <w:tabs>
          <w:tab w:val="left" w:pos="1134" w:leader="none"/>
          <w:tab w:val="right" w:pos="9345" w:leader="dot"/>
        </w:tabs>
        <w:rPr>
          <w:rFonts w:asciiTheme="minorHAnsi" w:hAnsiTheme="minorHAnsi" w:eastAsiaTheme="minorEastAsia" w:cstheme="minorBidi"/>
          <w:sz w:val="28"/>
          <w:szCs w:val="28"/>
          <w14:ligatures w14:val="standardContextual"/>
        </w:rPr>
      </w:pPr>
      <w:r/>
      <w:hyperlink w:tooltip="#_Toc156137928" w:anchor="_Toc156137928" w:history="1">
        <w:r>
          <w:rPr>
            <w:rStyle w:val="884"/>
            <w:sz w:val="28"/>
            <w:szCs w:val="28"/>
          </w:rPr>
          <w:t xml:space="preserve">5.2.2.</w:t>
        </w:r>
        <w:r>
          <w:rPr>
            <w:rFonts w:asciiTheme="minorHAnsi" w:hAnsiTheme="minorHAnsi" w:eastAsiaTheme="minorEastAsia" w:cstheme="minorBidi"/>
            <w:sz w:val="28"/>
            <w:szCs w:val="28"/>
            <w14:ligatures w14:val="standardContextual"/>
          </w:rPr>
          <w:tab/>
        </w:r>
        <w:r>
          <w:rPr>
            <w:rStyle w:val="884"/>
            <w:sz w:val="28"/>
            <w:szCs w:val="28"/>
          </w:rPr>
          <w:t xml:space="preserve">Практическая часть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_Toc156137928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 xml:space="preserve">12</w:t>
        </w:r>
        <w:r>
          <w:rPr>
            <w:sz w:val="28"/>
            <w:szCs w:val="28"/>
          </w:rPr>
          <w:fldChar w:fldCharType="end"/>
        </w:r>
      </w:hyperlink>
      <w:r/>
      <w:r/>
    </w:p>
    <w:p>
      <w:pPr>
        <w:pStyle w:val="893"/>
        <w:tabs>
          <w:tab w:val="left" w:pos="1134" w:leader="none"/>
          <w:tab w:val="right" w:pos="9345" w:leader="dot"/>
        </w:tabs>
        <w:rPr>
          <w:rFonts w:asciiTheme="minorHAnsi" w:hAnsiTheme="minorHAnsi" w:eastAsiaTheme="minorEastAsia" w:cstheme="minorBidi"/>
          <w:sz w:val="28"/>
          <w:szCs w:val="28"/>
          <w14:ligatures w14:val="standardContextual"/>
        </w:rPr>
      </w:pPr>
      <w:r/>
      <w:hyperlink w:tooltip="#_Toc156137929" w:anchor="_Toc156137929" w:history="1">
        <w:r>
          <w:rPr>
            <w:rStyle w:val="884"/>
            <w:sz w:val="28"/>
            <w:szCs w:val="28"/>
          </w:rPr>
          <w:t xml:space="preserve">5.2.3.</w:t>
        </w:r>
        <w:r>
          <w:rPr>
            <w:rFonts w:asciiTheme="minorHAnsi" w:hAnsiTheme="minorHAnsi" w:eastAsiaTheme="minorEastAsia" w:cstheme="minorBidi"/>
            <w:sz w:val="28"/>
            <w:szCs w:val="28"/>
            <w14:ligatures w14:val="standardContextual"/>
          </w:rPr>
          <w:tab/>
        </w:r>
        <w:r>
          <w:rPr>
            <w:rStyle w:val="884"/>
            <w:sz w:val="28"/>
            <w:szCs w:val="28"/>
          </w:rPr>
          <w:t xml:space="preserve">Особенности написания исследовательской работы и научного проекта в области психологии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_Toc156137929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 xml:space="preserve">13</w:t>
        </w:r>
        <w:r>
          <w:rPr>
            <w:sz w:val="28"/>
            <w:szCs w:val="28"/>
          </w:rPr>
          <w:fldChar w:fldCharType="end"/>
        </w:r>
      </w:hyperlink>
      <w:r/>
      <w:r/>
    </w:p>
    <w:p>
      <w:pPr>
        <w:pStyle w:val="892"/>
        <w:tabs>
          <w:tab w:val="left" w:pos="850" w:leader="none"/>
          <w:tab w:val="right" w:pos="9345" w:leader="dot"/>
        </w:tabs>
        <w:rPr>
          <w:rFonts w:asciiTheme="minorHAnsi" w:hAnsiTheme="minorHAnsi" w:eastAsiaTheme="minorEastAsia" w:cstheme="minorBidi"/>
          <w:sz w:val="28"/>
          <w:szCs w:val="28"/>
          <w14:ligatures w14:val="standardContextual"/>
        </w:rPr>
      </w:pPr>
      <w:r/>
      <w:hyperlink w:tooltip="#_Toc156137930" w:anchor="_Toc156137930" w:history="1">
        <w:r>
          <w:rPr>
            <w:rStyle w:val="884"/>
            <w:sz w:val="28"/>
            <w:szCs w:val="28"/>
          </w:rPr>
          <w:t xml:space="preserve">5.3.</w:t>
        </w:r>
        <w:r>
          <w:rPr>
            <w:rFonts w:asciiTheme="minorHAnsi" w:hAnsiTheme="minorHAnsi" w:eastAsiaTheme="minorEastAsia" w:cstheme="minorBidi"/>
            <w:sz w:val="28"/>
            <w:szCs w:val="28"/>
            <w14:ligatures w14:val="standardContextual"/>
          </w:rPr>
          <w:tab/>
        </w:r>
        <w:r>
          <w:rPr>
            <w:rStyle w:val="884"/>
            <w:sz w:val="28"/>
            <w:szCs w:val="28"/>
          </w:rPr>
          <w:t xml:space="preserve">Заключение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_Toc156137930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 xml:space="preserve">14</w:t>
        </w:r>
        <w:r>
          <w:rPr>
            <w:sz w:val="28"/>
            <w:szCs w:val="28"/>
          </w:rPr>
          <w:fldChar w:fldCharType="end"/>
        </w:r>
      </w:hyperlink>
      <w:r/>
      <w:r/>
    </w:p>
    <w:p>
      <w:pPr>
        <w:pStyle w:val="892"/>
        <w:tabs>
          <w:tab w:val="left" w:pos="850" w:leader="none"/>
          <w:tab w:val="right" w:pos="9345" w:leader="dot"/>
        </w:tabs>
        <w:rPr>
          <w:rFonts w:asciiTheme="minorHAnsi" w:hAnsiTheme="minorHAnsi" w:eastAsiaTheme="minorEastAsia" w:cstheme="minorBidi"/>
          <w:sz w:val="28"/>
          <w:szCs w:val="28"/>
          <w14:ligatures w14:val="standardContextual"/>
        </w:rPr>
      </w:pPr>
      <w:r/>
      <w:hyperlink w:tooltip="#_Toc156137931" w:anchor="_Toc156137931" w:history="1">
        <w:r>
          <w:rPr>
            <w:rStyle w:val="884"/>
            <w:sz w:val="28"/>
            <w:szCs w:val="28"/>
          </w:rPr>
          <w:t xml:space="preserve">5.4.</w:t>
        </w:r>
        <w:r>
          <w:rPr>
            <w:rFonts w:asciiTheme="minorHAnsi" w:hAnsiTheme="minorHAnsi" w:eastAsiaTheme="minorEastAsia" w:cstheme="minorBidi"/>
            <w:sz w:val="28"/>
            <w:szCs w:val="28"/>
            <w14:ligatures w14:val="standardContextual"/>
          </w:rPr>
          <w:tab/>
        </w:r>
        <w:r>
          <w:rPr>
            <w:rStyle w:val="884"/>
            <w:sz w:val="28"/>
            <w:szCs w:val="28"/>
          </w:rPr>
          <w:t xml:space="preserve">Список литературы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_Toc156137931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 xml:space="preserve">15</w:t>
        </w:r>
        <w:r>
          <w:rPr>
            <w:sz w:val="28"/>
            <w:szCs w:val="28"/>
          </w:rPr>
          <w:fldChar w:fldCharType="end"/>
        </w:r>
      </w:hyperlink>
      <w:r/>
      <w:r/>
    </w:p>
    <w:p>
      <w:pPr>
        <w:pStyle w:val="892"/>
        <w:tabs>
          <w:tab w:val="left" w:pos="850" w:leader="none"/>
          <w:tab w:val="right" w:pos="9345" w:leader="dot"/>
        </w:tabs>
        <w:rPr>
          <w:rFonts w:asciiTheme="minorHAnsi" w:hAnsiTheme="minorHAnsi" w:eastAsiaTheme="minorEastAsia" w:cstheme="minorBidi"/>
          <w:sz w:val="28"/>
          <w:szCs w:val="28"/>
          <w14:ligatures w14:val="standardContextual"/>
        </w:rPr>
      </w:pPr>
      <w:r/>
      <w:hyperlink w:tooltip="#_Toc156137932" w:anchor="_Toc156137932" w:history="1">
        <w:r>
          <w:rPr>
            <w:rStyle w:val="884"/>
            <w:sz w:val="28"/>
            <w:szCs w:val="28"/>
          </w:rPr>
          <w:t xml:space="preserve">5.5.</w:t>
        </w:r>
        <w:r>
          <w:rPr>
            <w:rFonts w:asciiTheme="minorHAnsi" w:hAnsiTheme="minorHAnsi" w:eastAsiaTheme="minorEastAsia" w:cstheme="minorBidi"/>
            <w:sz w:val="28"/>
            <w:szCs w:val="28"/>
            <w14:ligatures w14:val="standardContextual"/>
          </w:rPr>
          <w:tab/>
        </w:r>
        <w:r>
          <w:rPr>
            <w:rStyle w:val="884"/>
            <w:sz w:val="28"/>
            <w:szCs w:val="28"/>
          </w:rPr>
          <w:t xml:space="preserve">Приложения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_Toc156137932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 xml:space="preserve">15</w:t>
        </w:r>
        <w:r>
          <w:rPr>
            <w:sz w:val="28"/>
            <w:szCs w:val="28"/>
          </w:rPr>
          <w:fldChar w:fldCharType="end"/>
        </w:r>
      </w:hyperlink>
      <w:r/>
      <w:r/>
    </w:p>
    <w:p>
      <w:pPr>
        <w:pStyle w:val="891"/>
        <w:tabs>
          <w:tab w:val="left" w:pos="400" w:leader="none"/>
          <w:tab w:val="right" w:pos="9345" w:leader="dot"/>
        </w:tabs>
        <w:rPr>
          <w:rFonts w:asciiTheme="minorHAnsi" w:hAnsiTheme="minorHAnsi" w:eastAsiaTheme="minorEastAsia" w:cstheme="minorBidi"/>
          <w:sz w:val="28"/>
          <w:szCs w:val="28"/>
          <w14:ligatures w14:val="standardContextual"/>
        </w:rPr>
      </w:pPr>
      <w:r/>
      <w:hyperlink w:tooltip="#_Toc156137933" w:anchor="_Toc156137933" w:history="1">
        <w:r>
          <w:rPr>
            <w:rStyle w:val="884"/>
            <w:b/>
            <w:bCs/>
            <w:sz w:val="28"/>
            <w:szCs w:val="28"/>
          </w:rPr>
          <w:t xml:space="preserve">6.</w:t>
        </w:r>
        <w:r>
          <w:rPr>
            <w:rFonts w:asciiTheme="minorHAnsi" w:hAnsiTheme="minorHAnsi" w:eastAsiaTheme="minorEastAsia" w:cstheme="minorBidi"/>
            <w:sz w:val="28"/>
            <w:szCs w:val="28"/>
            <w14:ligatures w14:val="standardContextual"/>
          </w:rPr>
          <w:tab/>
        </w:r>
        <w:r>
          <w:rPr>
            <w:rStyle w:val="884"/>
            <w:b/>
            <w:sz w:val="28"/>
            <w:szCs w:val="28"/>
          </w:rPr>
          <w:t xml:space="preserve">ОБЩИЕ ПРАВИЛА ОФОРМЛЕНИЯ ВЫПУСКНЫХ КВАЛИФИКАЦИОННЫХ РАБОТ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_Toc156137933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 xml:space="preserve">15</w:t>
        </w:r>
        <w:r>
          <w:rPr>
            <w:sz w:val="28"/>
            <w:szCs w:val="28"/>
          </w:rPr>
          <w:fldChar w:fldCharType="end"/>
        </w:r>
      </w:hyperlink>
      <w:r/>
      <w:r/>
    </w:p>
    <w:p>
      <w:pPr>
        <w:pStyle w:val="891"/>
        <w:tabs>
          <w:tab w:val="left" w:pos="400" w:leader="none"/>
          <w:tab w:val="right" w:pos="9345" w:leader="dot"/>
        </w:tabs>
        <w:rPr>
          <w:rFonts w:asciiTheme="minorHAnsi" w:hAnsiTheme="minorHAnsi" w:eastAsiaTheme="minorEastAsia" w:cstheme="minorBidi"/>
          <w:sz w:val="28"/>
          <w:szCs w:val="28"/>
          <w14:ligatures w14:val="standardContextual"/>
        </w:rPr>
      </w:pPr>
      <w:r/>
      <w:hyperlink w:tooltip="#_Toc156137934" w:anchor="_Toc156137934" w:history="1">
        <w:r>
          <w:rPr>
            <w:rStyle w:val="884"/>
            <w:b/>
            <w:bCs/>
            <w:caps/>
            <w:sz w:val="28"/>
            <w:szCs w:val="28"/>
          </w:rPr>
          <w:t xml:space="preserve">7.</w:t>
        </w:r>
        <w:r>
          <w:rPr>
            <w:rFonts w:asciiTheme="minorHAnsi" w:hAnsiTheme="minorHAnsi" w:eastAsiaTheme="minorEastAsia" w:cstheme="minorBidi"/>
            <w:sz w:val="28"/>
            <w:szCs w:val="28"/>
            <w14:ligatures w14:val="standardContextual"/>
          </w:rPr>
          <w:tab/>
        </w:r>
        <w:r>
          <w:rPr>
            <w:rStyle w:val="884"/>
            <w:b/>
            <w:bCs/>
            <w:caps/>
            <w:sz w:val="28"/>
            <w:szCs w:val="28"/>
          </w:rPr>
          <w:t xml:space="preserve">Порядок и сроки прох</w:t>
        </w:r>
        <w:r>
          <w:rPr>
            <w:rStyle w:val="884"/>
            <w:b/>
            <w:bCs/>
            <w:caps/>
            <w:sz w:val="28"/>
            <w:szCs w:val="28"/>
          </w:rPr>
          <w:t xml:space="preserve">о</w:t>
        </w:r>
        <w:r>
          <w:rPr>
            <w:rStyle w:val="884"/>
            <w:b/>
            <w:bCs/>
            <w:caps/>
            <w:sz w:val="28"/>
            <w:szCs w:val="28"/>
          </w:rPr>
          <w:t xml:space="preserve">ждения предзащиты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_Toc156137934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 xml:space="preserve">17</w:t>
        </w:r>
        <w:r>
          <w:rPr>
            <w:sz w:val="28"/>
            <w:szCs w:val="28"/>
          </w:rPr>
          <w:fldChar w:fldCharType="end"/>
        </w:r>
      </w:hyperlink>
      <w:r/>
      <w:r/>
    </w:p>
    <w:p>
      <w:pPr>
        <w:pStyle w:val="891"/>
        <w:tabs>
          <w:tab w:val="left" w:pos="400" w:leader="none"/>
          <w:tab w:val="right" w:pos="9345" w:leader="dot"/>
        </w:tabs>
        <w:rPr>
          <w:rFonts w:asciiTheme="minorHAnsi" w:hAnsiTheme="minorHAnsi" w:eastAsiaTheme="minorEastAsia" w:cstheme="minorBidi"/>
          <w:sz w:val="28"/>
          <w:szCs w:val="28"/>
          <w14:ligatures w14:val="standardContextual"/>
        </w:rPr>
      </w:pPr>
      <w:r/>
      <w:hyperlink w:tooltip="#_Toc156137935" w:anchor="_Toc156137935" w:history="1">
        <w:r>
          <w:rPr>
            <w:rStyle w:val="884"/>
            <w:b/>
            <w:bCs/>
            <w:sz w:val="28"/>
            <w:szCs w:val="28"/>
          </w:rPr>
          <w:t xml:space="preserve">8.</w:t>
        </w:r>
        <w:r>
          <w:rPr>
            <w:rFonts w:asciiTheme="minorHAnsi" w:hAnsiTheme="minorHAnsi" w:eastAsiaTheme="minorEastAsia" w:cstheme="minorBidi"/>
            <w:sz w:val="28"/>
            <w:szCs w:val="28"/>
            <w14:ligatures w14:val="standardContextual"/>
          </w:rPr>
          <w:tab/>
        </w:r>
        <w:r>
          <w:rPr>
            <w:rStyle w:val="884"/>
            <w:b/>
            <w:sz w:val="28"/>
            <w:szCs w:val="28"/>
          </w:rPr>
          <w:t xml:space="preserve">ПОРЯДОК ЗАЩИТЫ ВЫПУСКНЫХ КВАЛИФИКАЦИОННЫХ РАБОТ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_Toc156137935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 xml:space="preserve">18</w:t>
        </w:r>
        <w:r>
          <w:rPr>
            <w:sz w:val="28"/>
            <w:szCs w:val="28"/>
          </w:rPr>
          <w:fldChar w:fldCharType="end"/>
        </w:r>
      </w:hyperlink>
      <w:r/>
      <w:r/>
    </w:p>
    <w:p>
      <w:pPr>
        <w:pStyle w:val="891"/>
        <w:tabs>
          <w:tab w:val="left" w:pos="400" w:leader="none"/>
          <w:tab w:val="right" w:pos="9345" w:leader="dot"/>
        </w:tabs>
        <w:rPr>
          <w:rFonts w:asciiTheme="minorHAnsi" w:hAnsiTheme="minorHAnsi" w:eastAsiaTheme="minorEastAsia" w:cstheme="minorBidi"/>
          <w:sz w:val="28"/>
          <w:szCs w:val="28"/>
          <w14:ligatures w14:val="standardContextual"/>
        </w:rPr>
      </w:pPr>
      <w:r/>
      <w:hyperlink w:tooltip="#_Toc156137936" w:anchor="_Toc156137936" w:history="1">
        <w:r>
          <w:rPr>
            <w:rStyle w:val="884"/>
            <w:b/>
            <w:bCs/>
            <w:sz w:val="28"/>
            <w:szCs w:val="28"/>
          </w:rPr>
          <w:t xml:space="preserve">9.</w:t>
        </w:r>
        <w:r>
          <w:rPr>
            <w:rFonts w:asciiTheme="minorHAnsi" w:hAnsiTheme="minorHAnsi" w:eastAsiaTheme="minorEastAsia" w:cstheme="minorBidi"/>
            <w:sz w:val="28"/>
            <w:szCs w:val="28"/>
            <w14:ligatures w14:val="standardContextual"/>
          </w:rPr>
          <w:tab/>
        </w:r>
        <w:r>
          <w:rPr>
            <w:rStyle w:val="884"/>
            <w:b/>
            <w:sz w:val="28"/>
            <w:szCs w:val="28"/>
          </w:rPr>
          <w:t xml:space="preserve">КРИТЕРИИ ОЦЕНКИ ВЫПУСКНОЙ КВАЛИФИКАЦИОННОЙ РАБОТЫ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_Toc156137936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 xml:space="preserve">21</w:t>
        </w:r>
        <w:r>
          <w:rPr>
            <w:sz w:val="28"/>
            <w:szCs w:val="28"/>
          </w:rPr>
          <w:fldChar w:fldCharType="end"/>
        </w:r>
      </w:hyperlink>
      <w:r/>
      <w:r/>
    </w:p>
    <w:p>
      <w:pPr>
        <w:pStyle w:val="891"/>
        <w:tabs>
          <w:tab w:val="right" w:pos="9345" w:leader="dot"/>
        </w:tabs>
        <w:rPr>
          <w:rFonts w:asciiTheme="minorHAnsi" w:hAnsiTheme="minorHAnsi" w:eastAsiaTheme="minorEastAsia" w:cstheme="minorBidi"/>
          <w:sz w:val="28"/>
          <w:szCs w:val="28"/>
          <w14:ligatures w14:val="standardContextual"/>
        </w:rPr>
      </w:pPr>
      <w:r/>
      <w:hyperlink w:tooltip="#_Toc156137937" w:anchor="_Toc156137937" w:history="1">
        <w:r>
          <w:rPr>
            <w:rStyle w:val="884"/>
            <w:b/>
            <w:sz w:val="28"/>
            <w:szCs w:val="28"/>
          </w:rPr>
          <w:t xml:space="preserve">Приложение 1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_Toc156137937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 xml:space="preserve">24</w:t>
        </w:r>
        <w:r>
          <w:rPr>
            <w:sz w:val="28"/>
            <w:szCs w:val="28"/>
          </w:rPr>
          <w:fldChar w:fldCharType="end"/>
        </w:r>
      </w:hyperlink>
      <w:r/>
      <w:r/>
    </w:p>
    <w:p>
      <w:pPr>
        <w:pStyle w:val="891"/>
        <w:tabs>
          <w:tab w:val="right" w:pos="9345" w:leader="dot"/>
        </w:tabs>
        <w:rPr>
          <w:rFonts w:asciiTheme="minorHAnsi" w:hAnsiTheme="minorHAnsi" w:eastAsiaTheme="minorEastAsia" w:cstheme="minorBidi"/>
          <w:sz w:val="28"/>
          <w:szCs w:val="28"/>
          <w14:ligatures w14:val="standardContextual"/>
        </w:rPr>
      </w:pPr>
      <w:r/>
      <w:hyperlink w:tooltip="#_Toc156137938" w:anchor="_Toc156137938" w:history="1">
        <w:r>
          <w:rPr>
            <w:rStyle w:val="884"/>
            <w:b/>
            <w:sz w:val="28"/>
            <w:szCs w:val="28"/>
          </w:rPr>
          <w:t xml:space="preserve">Приложение 2.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_Toc156137938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 xml:space="preserve">25</w:t>
        </w:r>
        <w:r>
          <w:rPr>
            <w:sz w:val="28"/>
            <w:szCs w:val="28"/>
          </w:rPr>
          <w:fldChar w:fldCharType="end"/>
        </w:r>
      </w:hyperlink>
      <w:r/>
      <w:r/>
    </w:p>
    <w:p>
      <w:pPr>
        <w:pStyle w:val="891"/>
        <w:tabs>
          <w:tab w:val="right" w:pos="9345" w:leader="dot"/>
        </w:tabs>
        <w:rPr>
          <w:rFonts w:asciiTheme="minorHAnsi" w:hAnsiTheme="minorHAnsi" w:eastAsiaTheme="minorEastAsia" w:cstheme="minorBidi"/>
          <w:sz w:val="28"/>
          <w:szCs w:val="28"/>
          <w14:ligatures w14:val="standardContextual"/>
        </w:rPr>
      </w:pPr>
      <w:r/>
      <w:hyperlink w:tooltip="#_Toc156137939" w:anchor="_Toc156137939" w:history="1">
        <w:r>
          <w:rPr>
            <w:rStyle w:val="884"/>
            <w:b/>
            <w:sz w:val="28"/>
            <w:szCs w:val="28"/>
          </w:rPr>
          <w:t xml:space="preserve">Приложение 3.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_Toc156137939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 xml:space="preserve">26</w:t>
        </w:r>
        <w:r>
          <w:rPr>
            <w:sz w:val="28"/>
            <w:szCs w:val="28"/>
          </w:rPr>
          <w:fldChar w:fldCharType="end"/>
        </w:r>
      </w:hyperlink>
      <w:r/>
      <w:r/>
    </w:p>
    <w:p>
      <w:r>
        <w:rPr>
          <w:sz w:val="28"/>
          <w:szCs w:val="28"/>
        </w:rPr>
        <w:fldChar w:fldCharType="end"/>
      </w:r>
      <w:r/>
    </w:p>
    <w:p>
      <w:pPr>
        <w:jc w:val="both"/>
        <w:spacing w:line="360" w:lineRule="auto"/>
        <w:shd w:val="clear" w:color="auto" w:fill="ffffff"/>
        <w:tabs>
          <w:tab w:val="left" w:pos="1138" w:leader="none"/>
        </w:tabs>
        <w:rPr>
          <w:i/>
          <w:sz w:val="28"/>
          <w:szCs w:val="28"/>
        </w:rPr>
      </w:pPr>
      <w:r>
        <w:rPr>
          <w:i/>
          <w:sz w:val="28"/>
          <w:szCs w:val="28"/>
        </w:rPr>
      </w:r>
      <w:r/>
    </w:p>
    <w:p>
      <w:pPr>
        <w:ind w:firstLine="397"/>
        <w:jc w:val="center"/>
        <w:widowControl/>
        <w:rPr>
          <w:b/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b/>
          <w:sz w:val="28"/>
          <w:szCs w:val="28"/>
        </w:rPr>
        <w:t xml:space="preserve">ВВЕДЕНИЕ</w:t>
      </w:r>
      <w:r/>
    </w:p>
    <w:p>
      <w:pPr>
        <w:ind w:firstLine="397"/>
        <w:jc w:val="center"/>
        <w:widowControl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Федеральным государственным образовательным стандартом высшего образования (ФГОС ВО) по направлению подготовки 37.03.01 Психология предусмотрена государственная итоговая аттестация. </w:t>
      </w:r>
      <w:r/>
    </w:p>
    <w:p>
      <w:pPr>
        <w:ind w:firstLine="709"/>
        <w:jc w:val="both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Трудоемкость ГИА составляет - 9 ЗЕТ </w:t>
      </w:r>
      <w:r>
        <w:rPr>
          <w:sz w:val="28"/>
          <w:szCs w:val="28"/>
        </w:rPr>
        <w:t xml:space="preserve">(324 ч.) и проводится на 5 курсе в 10 семестре (ЗФО).</w:t>
      </w:r>
      <w:r>
        <w:rPr>
          <w:b/>
          <w:sz w:val="28"/>
          <w:szCs w:val="28"/>
        </w:rPr>
        <w:t xml:space="preserve"> </w:t>
      </w:r>
      <w:r/>
    </w:p>
    <w:p>
      <w:pPr>
        <w:ind w:firstLine="709"/>
        <w:jc w:val="both"/>
        <w:shd w:val="clear" w:color="auto" w:fill="ffffff"/>
        <w:tabs>
          <w:tab w:val="left" w:pos="1134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Государственная итоговая аттестация (ГИА) </w:t>
      </w:r>
      <w:r>
        <w:rPr>
          <w:sz w:val="28"/>
          <w:szCs w:val="28"/>
        </w:rPr>
        <w:t xml:space="preserve">проводится в форме:</w:t>
      </w:r>
      <w:r/>
    </w:p>
    <w:p>
      <w:pPr>
        <w:numPr>
          <w:ilvl w:val="0"/>
          <w:numId w:val="6"/>
        </w:numPr>
        <w:ind w:left="284" w:firstLine="425"/>
        <w:jc w:val="both"/>
        <w:shd w:val="clear" w:color="auto" w:fill="ffffff"/>
        <w:widowControl/>
        <w:tabs>
          <w:tab w:val="left" w:pos="284" w:leader="none"/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государственного экзамена (3 ЗЕТ, 108 ч.); </w:t>
      </w:r>
      <w:r/>
    </w:p>
    <w:p>
      <w:pPr>
        <w:ind w:firstLine="709"/>
        <w:jc w:val="both"/>
        <w:shd w:val="clear" w:color="auto" w:fill="ffffff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- подготовки и защиты выпускной квалификационной работы (6 ЗЕТ, 216 ч.).</w:t>
      </w:r>
      <w:r/>
    </w:p>
    <w:p>
      <w:pPr>
        <w:ind w:firstLine="709"/>
        <w:jc w:val="both"/>
        <w:shd w:val="clear" w:color="auto" w:fill="ffffff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Защита выпускной квалификационной работы является заключительным этапом освоения образовательной программы. </w:t>
      </w:r>
      <w:r/>
    </w:p>
    <w:p>
      <w:pPr>
        <w:ind w:firstLine="709"/>
        <w:jc w:val="both"/>
        <w:shd w:val="clear" w:color="auto" w:fill="ffffff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left="709"/>
        <w:jc w:val="both"/>
        <w:spacing w:line="360" w:lineRule="auto"/>
        <w:shd w:val="clear" w:color="auto" w:fill="ffffff"/>
        <w:widowControl/>
        <w:tabs>
          <w:tab w:val="left" w:pos="284" w:leader="none"/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ГИА может проводиться с применением ЭО и ДОТ.</w:t>
      </w:r>
      <w:r/>
    </w:p>
    <w:p>
      <w:pPr>
        <w:ind w:firstLine="709"/>
        <w:jc w:val="both"/>
        <w:shd w:val="clear" w:color="auto" w:fill="ffffff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firstLine="567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Обучение в вузе не только ориентирует студента - бакалавра на будущую профессиональную деятельност</w:t>
      </w:r>
      <w:r>
        <w:rPr>
          <w:sz w:val="28"/>
          <w:szCs w:val="28"/>
        </w:rPr>
        <w:t xml:space="preserve">ь, но и формирует поисковый стиль мышления, необходимый современному человеку, умения и навыки научно-исследовательской работы, самостоятельного получения необходимой информации, анализа данных различных источников, составления своего собственного мнения. </w:t>
      </w:r>
      <w:r/>
    </w:p>
    <w:p>
      <w:pPr>
        <w:ind w:firstLine="567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Одной из основных форм самостоятельной научно-исследовательской работы студентов - бакалавров является выпускная квалификационная работа.</w:t>
      </w:r>
      <w:r/>
    </w:p>
    <w:p>
      <w:pPr>
        <w:ind w:firstLine="567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42"/>
        <w:numPr>
          <w:ilvl w:val="0"/>
          <w:numId w:val="28"/>
        </w:numPr>
        <w:ind w:left="714" w:hanging="357"/>
        <w:jc w:val="center"/>
        <w:shd w:val="clear" w:color="auto" w:fill="ffffff"/>
        <w:rPr>
          <w:b/>
          <w:smallCaps/>
          <w:sz w:val="28"/>
          <w:szCs w:val="28"/>
        </w:rPr>
        <w:outlineLvl w:val="0"/>
      </w:pPr>
      <w:r/>
      <w:bookmarkStart w:id="0" w:name="_Toc156137919"/>
      <w:r>
        <w:rPr>
          <w:b/>
          <w:smallCaps/>
          <w:sz w:val="28"/>
          <w:szCs w:val="28"/>
        </w:rPr>
        <w:t xml:space="preserve">ЦЕЛИ И ЗАДАЧИ ВЫПУСКНОЙ КВАЛИФИКАЦИОННОЙ РАБОТЫ</w:t>
      </w:r>
      <w:bookmarkEnd w:id="0"/>
      <w:r/>
      <w:r/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Выпускная квалификационная работа – это самостоятельное, н</w:t>
      </w:r>
      <w:r>
        <w:rPr>
          <w:sz w:val="28"/>
          <w:szCs w:val="28"/>
        </w:rPr>
        <w:t xml:space="preserve">аучно-прикладное исследование, которое способствует формированию творческих качеств и творческого отношения к своей профессии. Основной целью квалифика</w:t>
      </w:r>
      <w:r>
        <w:rPr>
          <w:sz w:val="28"/>
          <w:szCs w:val="28"/>
        </w:rPr>
        <w:t xml:space="preserve">ционной работы бакалавра психологии является закрепление и углубление теоретических знаний по дисциплинам, формирующим общепрофессиональные и профессиональные компетенции, а также приобретение навыков в научно-исследовательской и практической деятельности.</w:t>
      </w:r>
      <w:r/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защите ВКР приказом ректора допускаются студенты, успешно завершившее в полном объеме освоение основной образовательной программы и успешно сдавшее все предшествующие аттестационные испытания, предусмотренные учебным планом основной образовате</w:t>
      </w:r>
      <w:r>
        <w:rPr>
          <w:sz w:val="28"/>
          <w:szCs w:val="28"/>
        </w:rPr>
        <w:t xml:space="preserve">льной программы высшего образования по направлению подготовки 37.03.01 Психология. Кроме того, к защите допускаются обучающиеся, не проходившие предыдущее испытание (государственный экзамен) по уважительной причине (при наличии подтверждающих документов). </w:t>
      </w:r>
      <w:r/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Выпускная работа бакалавра психологии выполняется на базе теоретических знаний и практических навыков, полученных в течение всего срока обучения, с преимущественной ориентацией на знани</w:t>
      </w:r>
      <w:r>
        <w:rPr>
          <w:sz w:val="28"/>
          <w:szCs w:val="28"/>
        </w:rPr>
        <w:t xml:space="preserve">я, полученные в процессе освоения дисциплин, формирующих общепрофессиональные и профессиональные компетенции ООП «Психология», с использованием знаний и навыков, полученных студентом в процессе прохождения учебной, производственной и преддипломной практик.</w:t>
      </w:r>
      <w:r/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Выполнение выпускной квалификационной работы имеет своей </w:t>
      </w:r>
      <w:r>
        <w:rPr>
          <w:b/>
          <w:sz w:val="28"/>
          <w:szCs w:val="28"/>
        </w:rPr>
        <w:t xml:space="preserve">целью</w:t>
      </w:r>
      <w:r>
        <w:rPr>
          <w:sz w:val="28"/>
          <w:szCs w:val="28"/>
        </w:rPr>
        <w:t xml:space="preserve">:</w:t>
      </w:r>
      <w:r/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систематизацию, закрепление и расширение теоретических знаний по направлению подготовки и применение этих знаний при решении конкретных практических задач;</w:t>
      </w:r>
      <w:r/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навыков ведения самостоятельной научно-исследовательской деятельности и овладение методами исследования при решении разрабатываемых в выпускной квалификационной работе проблем и вопросов;</w:t>
      </w:r>
      <w:r/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формирование умений и навыков оформления научной и другой документации. 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Основной задачей</w:t>
      </w:r>
      <w:r>
        <w:rPr>
          <w:sz w:val="28"/>
          <w:szCs w:val="28"/>
        </w:rPr>
        <w:t xml:space="preserve"> выполнения студентом выпускной квалификационной работы является реализация себя в научно-исследовательской деятельности, которая предполагает:</w:t>
      </w:r>
      <w:r/>
    </w:p>
    <w:p>
      <w:pPr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участие в проведении психологических исследований на основе профессиональных знаний и применения психологических технологий, позволяющих осуществлять решение типовых задач в различных научных и научно-практических областях психологии;</w:t>
      </w:r>
      <w:r/>
    </w:p>
    <w:p>
      <w:pPr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изучение научной информации, отечественного и зарубежного опыта по тематике исследования;</w:t>
      </w:r>
      <w:r/>
    </w:p>
    <w:p>
      <w:pPr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применение стандартизированных методик;</w:t>
      </w:r>
      <w:r/>
    </w:p>
    <w:p>
      <w:pPr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обработку данных с использованием стандартных пакетов программного обеспечения.</w:t>
      </w:r>
      <w:r/>
    </w:p>
    <w:p>
      <w:pPr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numPr>
          <w:ilvl w:val="0"/>
          <w:numId w:val="28"/>
        </w:numPr>
        <w:ind w:left="714" w:hanging="357"/>
        <w:jc w:val="center"/>
        <w:rPr>
          <w:b/>
          <w:iCs/>
          <w:caps/>
          <w:sz w:val="28"/>
          <w:szCs w:val="28"/>
        </w:rPr>
        <w:outlineLvl w:val="0"/>
      </w:pPr>
      <w:r/>
      <w:bookmarkStart w:id="1" w:name="_Toc156137920"/>
      <w:r>
        <w:rPr>
          <w:b/>
          <w:caps/>
          <w:sz w:val="28"/>
          <w:szCs w:val="28"/>
        </w:rPr>
        <w:t xml:space="preserve">Перечень компетенций, которые должны быть продемонстрированы обучающимися при подготовке и защите ВКР</w:t>
      </w:r>
      <w:bookmarkEnd w:id="1"/>
      <w:r/>
      <w:r/>
    </w:p>
    <w:p>
      <w:pPr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 ходе подготовки и защиты ВКР выпускник должен быть готов продемонстрировать сформированность следующих ключевых компетенций:</w:t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344"/>
      </w:tblGrid>
      <w:tr>
        <w:trPr>
          <w:trHeight w:val="145"/>
        </w:trPr>
        <w:tc>
          <w:tcPr>
            <w:tcW w:w="2093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Код компетенции</w:t>
            </w:r>
            <w:r/>
          </w:p>
        </w:tc>
        <w:tc>
          <w:tcPr>
            <w:tcW w:w="7344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компетенции</w:t>
            </w:r>
            <w:r/>
          </w:p>
        </w:tc>
      </w:tr>
      <w:tr>
        <w:trPr>
          <w:trHeight w:val="522"/>
        </w:trPr>
        <w:tc>
          <w:tcPr>
            <w:gridSpan w:val="2"/>
            <w:tcW w:w="9437" w:type="dxa"/>
            <w:textDirection w:val="lrTb"/>
            <w:noWrap w:val="false"/>
          </w:tcPr>
          <w:p>
            <w:pPr>
              <w:jc w:val="center"/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Общекультурные компетенции (ОК):</w:t>
            </w:r>
            <w:r/>
          </w:p>
        </w:tc>
      </w:tr>
      <w:tr>
        <w:trPr>
          <w:trHeight w:val="277"/>
        </w:trPr>
        <w:tc>
          <w:tcPr>
            <w:tcW w:w="209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ОК-1</w:t>
            </w:r>
            <w:r/>
          </w:p>
        </w:tc>
        <w:tc>
          <w:tcPr>
            <w:tcW w:w="7344" w:type="dxa"/>
            <w:textDirection w:val="lrTb"/>
            <w:noWrap w:val="false"/>
          </w:tcPr>
          <w:p>
            <w:pPr>
              <w:jc w:val="both"/>
              <w:rPr>
                <w:i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способность использовать основы философских знаний для формирования мировоззренческой позиции</w:t>
            </w:r>
            <w:r>
              <w:rPr>
                <w:i/>
                <w:sz w:val="28"/>
                <w:szCs w:val="28"/>
              </w:rPr>
              <w:t xml:space="preserve"> </w:t>
            </w:r>
            <w:r/>
          </w:p>
        </w:tc>
      </w:tr>
      <w:tr>
        <w:trPr>
          <w:trHeight w:val="456"/>
        </w:trPr>
        <w:tc>
          <w:tcPr>
            <w:tcW w:w="2093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ОК-5</w:t>
            </w:r>
            <w:r/>
          </w:p>
        </w:tc>
        <w:tc>
          <w:tcPr>
            <w:tcW w:w="7344" w:type="dxa"/>
            <w:textDirection w:val="lrTb"/>
            <w:noWrap w:val="false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способность к коммуникации в устной и письменной формах на русском и иностран</w:t>
            </w:r>
            <w:r>
              <w:rPr>
                <w:color w:val="000000"/>
                <w:sz w:val="28"/>
                <w:szCs w:val="28"/>
              </w:rPr>
              <w:t xml:space="preserve">ном языках для решения задач межличностного и межкультурного взаимодействия</w:t>
            </w:r>
            <w:r>
              <w:rPr>
                <w:sz w:val="28"/>
                <w:szCs w:val="28"/>
              </w:rPr>
              <w:t xml:space="preserve"> </w:t>
            </w:r>
            <w:r/>
          </w:p>
        </w:tc>
      </w:tr>
      <w:tr>
        <w:trPr>
          <w:trHeight w:val="893"/>
        </w:trPr>
        <w:tc>
          <w:tcPr>
            <w:tcW w:w="2093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ОК-6</w:t>
            </w:r>
            <w:r/>
          </w:p>
        </w:tc>
        <w:tc>
          <w:tcPr>
            <w:tcW w:w="7344" w:type="dxa"/>
            <w:textDirection w:val="lrTb"/>
            <w:noWrap w:val="false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способность работать в коллективе, толерантно воспринимая социальные, этнические, конфессиональные и культурные различия</w:t>
            </w:r>
            <w:r/>
          </w:p>
        </w:tc>
      </w:tr>
      <w:tr>
        <w:trPr>
          <w:trHeight w:val="456"/>
        </w:trPr>
        <w:tc>
          <w:tcPr>
            <w:tcW w:w="2093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ОК-7</w:t>
            </w:r>
            <w:r/>
          </w:p>
        </w:tc>
        <w:tc>
          <w:tcPr>
            <w:tcW w:w="7344" w:type="dxa"/>
            <w:textDirection w:val="lrTb"/>
            <w:noWrap w:val="false"/>
          </w:tcPr>
          <w:p>
            <w:pPr>
              <w:pStyle w:val="922"/>
              <w:jc w:val="both"/>
              <w:spacing w:before="0" w:beforeAutospacing="0" w:after="0" w:afterAutospacing="0"/>
              <w:shd w:val="clear" w:color="auto" w:fill="ffffff"/>
              <w:rPr>
                <w:bCs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способность к самоорганизации и самообразованию</w:t>
            </w:r>
            <w:r/>
          </w:p>
        </w:tc>
      </w:tr>
      <w:tr>
        <w:trPr>
          <w:trHeight w:val="456"/>
        </w:trPr>
        <w:tc>
          <w:tcPr>
            <w:tcW w:w="2093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ОК-8</w:t>
            </w:r>
            <w:r/>
          </w:p>
        </w:tc>
        <w:tc>
          <w:tcPr>
            <w:tcW w:w="7344" w:type="dxa"/>
            <w:textDirection w:val="lrTb"/>
            <w:noWrap w:val="false"/>
          </w:tcPr>
          <w:p>
            <w:pPr>
              <w:pStyle w:val="922"/>
              <w:jc w:val="both"/>
              <w:spacing w:before="0" w:beforeAutospacing="0" w:after="0" w:afterAutospacing="0"/>
              <w:shd w:val="clear" w:color="auto" w:fill="ffffff"/>
              <w:rPr>
                <w:bCs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способность использовать методы и средства физической культуры для обеспечения полноценной социальной и профессиональной деятельности </w:t>
            </w:r>
            <w:r/>
          </w:p>
        </w:tc>
      </w:tr>
      <w:tr>
        <w:trPr>
          <w:trHeight w:val="553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37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Общепрофессиональные компетенции (ОПК):</w:t>
            </w:r>
            <w:r/>
          </w:p>
        </w:tc>
      </w:tr>
      <w:tr>
        <w:trPr>
          <w:trHeight w:val="55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93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ОПК-1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44" w:type="dxa"/>
            <w:textDirection w:val="lrTb"/>
            <w:noWrap w:val="false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  <w:r/>
          </w:p>
        </w:tc>
      </w:tr>
      <w:tr>
        <w:trPr>
          <w:trHeight w:val="431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37" w:type="dxa"/>
            <w:textDirection w:val="lrTb"/>
            <w:noWrap w:val="false"/>
          </w:tcPr>
          <w:p>
            <w:pPr>
              <w:pStyle w:val="907"/>
              <w:numPr>
                <w:ilvl w:val="0"/>
                <w:numId w:val="0"/>
              </w:numPr>
              <w:jc w:val="center"/>
              <w:spacing w:line="24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Профессиональные компетенции (ПК): </w:t>
            </w:r>
            <w:r>
              <w:rPr>
                <w:b/>
                <w:sz w:val="28"/>
                <w:szCs w:val="28"/>
              </w:rPr>
              <w:t xml:space="preserve">для академического бакалавриата</w:t>
            </w:r>
            <w:r/>
          </w:p>
        </w:tc>
      </w:tr>
      <w:tr>
        <w:trPr>
          <w:trHeight w:val="42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93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44" w:type="dxa"/>
            <w:textDirection w:val="lrTb"/>
            <w:noWrap w:val="false"/>
          </w:tcPr>
          <w:p>
            <w:pPr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 xml:space="preserve">Практическая деятельность</w:t>
            </w:r>
            <w:r/>
          </w:p>
        </w:tc>
      </w:tr>
      <w:tr>
        <w:trPr>
          <w:trHeight w:val="42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93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ПК-1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44" w:type="dxa"/>
            <w:textDirection w:val="lrTb"/>
            <w:noWrap w:val="false"/>
          </w:tcPr>
          <w:p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способность к реализации стандартных программ, н</w:t>
            </w:r>
            <w:r>
              <w:rPr>
                <w:color w:val="000000"/>
                <w:sz w:val="28"/>
                <w:szCs w:val="28"/>
              </w:rPr>
              <w:t xml:space="preserve">аправленных на предупреждение отклонений в социальном, личностном статусе и развитии, профессиональных рисков в различных видах деятельности</w:t>
            </w:r>
            <w:r/>
          </w:p>
        </w:tc>
      </w:tr>
      <w:tr>
        <w:trPr>
          <w:trHeight w:val="42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93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ПК-2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44" w:type="dxa"/>
            <w:textDirection w:val="lrTb"/>
            <w:noWrap w:val="false"/>
          </w:tcPr>
          <w:p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способность к отбору и применению психодиагностических методик, адекватных целям, ситуации и контингенту респондентов с последующей математико- статистической обработкой данных и их интерпретацией</w:t>
            </w:r>
            <w:r/>
          </w:p>
        </w:tc>
      </w:tr>
      <w:tr>
        <w:trPr>
          <w:trHeight w:val="42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93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ПК-3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44" w:type="dxa"/>
            <w:textDirection w:val="lrTb"/>
            <w:noWrap w:val="false"/>
          </w:tcPr>
          <w:p>
            <w:pPr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способность к осуществлению стандартных базовых процедур оказания индивиду, группе, организации психологической помощи с использованием традиционных методов и технологий</w:t>
            </w:r>
            <w:r/>
          </w:p>
        </w:tc>
      </w:tr>
      <w:tr>
        <w:trPr>
          <w:trHeight w:val="42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93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ПК-4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44" w:type="dxa"/>
            <w:textDirection w:val="lrTb"/>
            <w:noWrap w:val="false"/>
          </w:tcPr>
          <w:p>
            <w:pPr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способность к выявлению специфики психического функционирования человека с учетом особенностей возрастных этапов, кризисов развития и факторов риска, его принадлежности к гендерной, этнической, профессиональной и другим социальным  группам</w:t>
            </w:r>
            <w:r/>
          </w:p>
        </w:tc>
      </w:tr>
      <w:tr>
        <w:trPr>
          <w:trHeight w:val="42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93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ПК-5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44" w:type="dxa"/>
            <w:textDirection w:val="lrTb"/>
            <w:noWrap w:val="false"/>
          </w:tcPr>
          <w:p>
            <w:pPr>
              <w:jc w:val="both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способность</w:t>
            </w:r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 xml:space="preserve">к психологической диагностике, прогнозированию изменений и динамики уровня развития познавательной и </w:t>
            </w:r>
            <w:r>
              <w:rPr>
                <w:spacing w:val="-5"/>
                <w:sz w:val="28"/>
                <w:szCs w:val="28"/>
              </w:rPr>
              <w:t xml:space="preserve">мотивационно-волевой сферы, самосознания, психомоторики, способностей,</w:t>
            </w:r>
            <w:r>
              <w:rPr>
                <w:spacing w:val="-4"/>
                <w:sz w:val="28"/>
                <w:szCs w:val="28"/>
              </w:rPr>
              <w:t xml:space="preserve"> характера, темперамента, функциональных состояний, личностных черт и </w:t>
            </w:r>
            <w:r>
              <w:rPr>
                <w:spacing w:val="-6"/>
                <w:sz w:val="28"/>
                <w:szCs w:val="28"/>
              </w:rPr>
              <w:t xml:space="preserve">акцентуаций в норме и при психических отклонениях с целью гармонизации </w:t>
            </w:r>
            <w:r>
              <w:rPr>
                <w:sz w:val="28"/>
                <w:szCs w:val="28"/>
              </w:rPr>
              <w:t xml:space="preserve">психического функционирования </w:t>
            </w:r>
            <w:r>
              <w:rPr>
                <w:sz w:val="28"/>
                <w:szCs w:val="28"/>
              </w:rPr>
              <w:t xml:space="preserve">человека</w:t>
            </w:r>
            <w:r/>
          </w:p>
        </w:tc>
      </w:tr>
      <w:tr>
        <w:trPr>
          <w:trHeight w:val="42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93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44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 xml:space="preserve">Научно-исследовательская деятельность</w:t>
            </w:r>
            <w:r/>
          </w:p>
        </w:tc>
      </w:tr>
      <w:tr>
        <w:trPr>
          <w:trHeight w:val="42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93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ПК-6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44" w:type="dxa"/>
            <w:textDirection w:val="lrTb"/>
            <w:noWrap w:val="false"/>
          </w:tcPr>
          <w:p>
            <w:pPr>
              <w:pStyle w:val="922"/>
              <w:jc w:val="both"/>
              <w:spacing w:before="0" w:beforeAutospacing="0" w:after="0" w:afterAutospacing="0"/>
              <w:shd w:val="clear" w:color="auto" w:fill="ffffff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способность к постановке профессиональных задач в области научно-исследовательской и практической деятельности</w:t>
            </w:r>
            <w:r/>
          </w:p>
        </w:tc>
      </w:tr>
      <w:tr>
        <w:trPr>
          <w:trHeight w:val="42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93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ПК-7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44" w:type="dxa"/>
            <w:textDirection w:val="lrTb"/>
            <w:noWrap w:val="false"/>
          </w:tcPr>
          <w:p>
            <w:pPr>
              <w:pStyle w:val="922"/>
              <w:jc w:val="both"/>
              <w:spacing w:before="0" w:beforeAutospacing="0" w:after="0" w:afterAutospacing="0"/>
              <w:shd w:val="clear" w:color="auto" w:fill="ffffff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способностью к участию в проведении психологических исследований на основе применения общепрофессиональных знаний и умений в различных научных и научно-практических областях психологии</w:t>
            </w:r>
            <w:r/>
          </w:p>
        </w:tc>
      </w:tr>
      <w:tr>
        <w:trPr>
          <w:trHeight w:val="42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93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ПК-8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44" w:type="dxa"/>
            <w:textDirection w:val="lrTb"/>
            <w:noWrap w:val="false"/>
          </w:tcPr>
          <w:p>
            <w:pPr>
              <w:pStyle w:val="922"/>
              <w:jc w:val="both"/>
              <w:spacing w:before="0" w:beforeAutospacing="0" w:after="0" w:afterAutospacing="0"/>
              <w:shd w:val="clear" w:color="auto" w:fill="ffffff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способность к проведению стандартного прикладного исследования в определенной области психологии</w:t>
            </w:r>
            <w:r/>
          </w:p>
        </w:tc>
      </w:tr>
      <w:tr>
        <w:trPr>
          <w:trHeight w:val="42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93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ПК-9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44" w:type="dxa"/>
            <w:textDirection w:val="lrTb"/>
            <w:noWrap w:val="false"/>
          </w:tcPr>
          <w:p>
            <w:pPr>
              <w:pStyle w:val="922"/>
              <w:jc w:val="both"/>
              <w:spacing w:before="0" w:beforeAutospacing="0" w:after="0" w:afterAutospacing="0"/>
              <w:shd w:val="clear" w:color="auto" w:fill="ffffff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способность к реализации базовых процедур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</w:t>
            </w:r>
            <w:r/>
          </w:p>
        </w:tc>
      </w:tr>
      <w:tr>
        <w:trPr>
          <w:trHeight w:val="42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93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44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 xml:space="preserve">Организационно-управленческая деятельность</w:t>
            </w:r>
            <w:r/>
          </w:p>
        </w:tc>
      </w:tr>
      <w:tr>
        <w:trPr>
          <w:trHeight w:val="42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93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ПК-13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44" w:type="dxa"/>
            <w:textDirection w:val="lrTb"/>
            <w:noWrap w:val="false"/>
          </w:tcPr>
          <w:p>
            <w:pPr>
              <w:pStyle w:val="922"/>
              <w:jc w:val="both"/>
              <w:spacing w:before="0" w:beforeAutospacing="0" w:after="0" w:afterAutospacing="0"/>
              <w:shd w:val="clear" w:color="auto" w:fill="ffffff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способность к проведению работ с персоналом организации с целью отбора кадров и создания психологического климата, способствующего оптимизации производственного процесса</w:t>
            </w:r>
            <w:r/>
          </w:p>
        </w:tc>
      </w:tr>
      <w:tr>
        <w:trPr>
          <w:trHeight w:val="42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93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ПК-14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44" w:type="dxa"/>
            <w:textDirection w:val="lrTb"/>
            <w:noWrap w:val="false"/>
          </w:tcPr>
          <w:p>
            <w:pPr>
              <w:pStyle w:val="922"/>
              <w:jc w:val="both"/>
              <w:spacing w:before="0" w:beforeAutospacing="0" w:after="0" w:afterAutospacing="0"/>
              <w:shd w:val="clear" w:color="auto" w:fill="ffffff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способность к реализации психологических технологий, ориентированных на личностный рост сотрудников организации и охрану здоровья индивидов и групп</w:t>
            </w:r>
            <w:r/>
          </w:p>
        </w:tc>
      </w:tr>
    </w:tbl>
    <w:p>
      <w:pPr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42"/>
        <w:numPr>
          <w:ilvl w:val="0"/>
          <w:numId w:val="28"/>
        </w:numPr>
        <w:ind w:left="714" w:hanging="357"/>
        <w:jc w:val="center"/>
        <w:rPr>
          <w:b/>
          <w:sz w:val="28"/>
          <w:szCs w:val="28"/>
        </w:rPr>
        <w:outlineLvl w:val="0"/>
      </w:pPr>
      <w:r/>
      <w:bookmarkStart w:id="2" w:name="_Toc156137921"/>
      <w:r>
        <w:rPr>
          <w:b/>
          <w:sz w:val="28"/>
          <w:szCs w:val="28"/>
        </w:rPr>
        <w:t xml:space="preserve">ТЕМАТИКА И ПОРЯДОК УТВЕРЖДЕНИЯ ТЕМ КВАЛИФИКАЦИОННЫХ РАБОТ</w:t>
      </w:r>
      <w:bookmarkEnd w:id="2"/>
      <w:r/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Выпускная квалификационная работа бакалавра психологии представляет собо</w:t>
      </w:r>
      <w:r>
        <w:rPr>
          <w:sz w:val="28"/>
          <w:szCs w:val="28"/>
        </w:rPr>
        <w:t xml:space="preserve">й законченную разработку, в которой анализируется одна из теоретических, либо практических проблем психологии. Квалификационная работа должна отразить умения студента самостоятельно разработать избранную тему и сформулировать соответствующие рекомендации.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Темы выпускных квалификационных работ разрабатываются и ежегодно обновляютс</w:t>
      </w:r>
      <w:r>
        <w:rPr>
          <w:sz w:val="28"/>
          <w:szCs w:val="28"/>
        </w:rPr>
        <w:t xml:space="preserve">я выпускающей кафедрой, после чего обсуждаются Ученым советом факультета. Возможно и самостоятельное предложение темы студентом. В этом случае студент обязательно должен обосновать целесообразность предлагаемой темы и утвердить ее в установленном порядке. </w:t>
      </w:r>
      <w:r/>
    </w:p>
    <w:p>
      <w:pPr>
        <w:ind w:firstLine="720"/>
        <w:jc w:val="both"/>
        <w:rPr>
          <w:b/>
          <w:sz w:val="36"/>
          <w:szCs w:val="28"/>
        </w:rPr>
      </w:pPr>
      <w:r>
        <w:rPr>
          <w:b/>
          <w:sz w:val="28"/>
        </w:rPr>
        <w:t xml:space="preserve">Утверждение тем ВКР, назначение научных руководителей и (при необходимости) консультантов оформляется приказом ректора не позднее, чем за шесть месяцев до начала ГИА.</w:t>
      </w:r>
      <w:r>
        <w:rPr>
          <w:b/>
          <w:sz w:val="36"/>
          <w:szCs w:val="28"/>
        </w:rPr>
        <w:t xml:space="preserve"> </w:t>
      </w:r>
      <w:r/>
    </w:p>
    <w:p>
      <w:pPr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Порядок утверждения тем квалификационных работ и научных руководителей определяется</w:t>
      </w:r>
      <w:r>
        <w:t xml:space="preserve"> </w:t>
      </w:r>
      <w:r>
        <w:rPr>
          <w:sz w:val="28"/>
          <w:szCs w:val="28"/>
        </w:rPr>
        <w:t xml:space="preserve">Положением о проведении ГИА обучающихся в  ТвГУ.</w:t>
      </w:r>
      <w:r>
        <w:rPr>
          <w:b/>
          <w:sz w:val="28"/>
          <w:szCs w:val="28"/>
        </w:rPr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Студент определяет тему квалификационной работы в соответствии с перечнем тем, разработанных и утвержденных на выпускающих кафедрах, а также руководствуясь своими научными интересами и склонностями, в рамках предложенного круга тем. </w:t>
      </w:r>
      <w:r>
        <w:rPr>
          <w:color w:val="000000"/>
          <w:sz w:val="28"/>
          <w:szCs w:val="28"/>
        </w:rPr>
        <w:t xml:space="preserve">Однако в каждом из случаев выбранная тема квалификационной работы должна быть актуальной, отличаться научной новизной и иметь практическую значимость.</w:t>
      </w:r>
      <w:r/>
    </w:p>
    <w:p>
      <w:pPr>
        <w:ind w:firstLine="680"/>
        <w:jc w:val="both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Тема квалификационной работы должна отражать актуальность одной из психологических и социально-психологических проблем общественной жизни. </w:t>
      </w:r>
      <w:r>
        <w:rPr>
          <w:sz w:val="28"/>
          <w:szCs w:val="28"/>
        </w:rPr>
        <w:t xml:space="preserve">Комплекс проблем, решаемых исследователем, образует </w:t>
      </w:r>
      <w:r>
        <w:rPr>
          <w:i/>
          <w:sz w:val="28"/>
          <w:szCs w:val="28"/>
        </w:rPr>
        <w:t xml:space="preserve">тему – </w:t>
      </w:r>
      <w:r>
        <w:rPr>
          <w:sz w:val="28"/>
          <w:szCs w:val="28"/>
        </w:rPr>
        <w:t xml:space="preserve">более или менее отчетливо определенную область знания.</w:t>
      </w:r>
      <w:r/>
    </w:p>
    <w:p>
      <w:pPr>
        <w:ind w:firstLine="680"/>
        <w:jc w:val="both"/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Основным критерием при выборе темы квалификационной работы служит научно-практический интерес студента-выпускника. Это, прежде всего, относи</w:t>
      </w:r>
      <w:r>
        <w:rPr>
          <w:color w:val="000000"/>
          <w:sz w:val="28"/>
          <w:szCs w:val="28"/>
        </w:rPr>
        <w:t xml:space="preserve">тся к студентам-выпускникам, которые продолжительное время целеустремленно собирали и обрабатывали материал по той или иной теме, участвовали в научно-практических конференциях, круглых столах, семинарах или имеют публикации по избранной теме исследования.</w:t>
      </w:r>
      <w:r/>
    </w:p>
    <w:p>
      <w:pPr>
        <w:pStyle w:val="908"/>
        <w:ind w:firstLine="720"/>
        <w:jc w:val="both"/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правильного выбора темы студе</w:t>
      </w:r>
      <w:r>
        <w:rPr>
          <w:sz w:val="28"/>
          <w:szCs w:val="28"/>
          <w:lang w:val="ru-RU"/>
        </w:rPr>
        <w:t xml:space="preserve">нт консультируется с научным руководителем, который и поможет определить тему, поставить цели и задачи работы, даст советы по методике выполнения квалификационной работы. Студент вправе предложить свою тему с обоснованием целесообразности ее исследования. </w:t>
      </w:r>
      <w:r/>
    </w:p>
    <w:p>
      <w:pPr>
        <w:pStyle w:val="908"/>
        <w:ind w:firstLine="720"/>
        <w:jc w:val="both"/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Существуют определенные научные требования к формулированию темы. В названии темы должны быть отражены проблема, объект и предмет исследования. Тема должна лежать </w:t>
      </w:r>
      <w:r>
        <w:rPr>
          <w:i/>
          <w:sz w:val="28"/>
          <w:szCs w:val="28"/>
          <w:lang w:val="ru-RU"/>
        </w:rPr>
        <w:t xml:space="preserve">в предметной области психологии</w:t>
      </w:r>
      <w:r>
        <w:rPr>
          <w:sz w:val="28"/>
          <w:szCs w:val="28"/>
          <w:lang w:val="ru-RU"/>
        </w:rPr>
        <w:t xml:space="preserve">, т.е. содержать в себе проблемы, решаемые психологией (но не социальной работой, философией, социологией).</w:t>
      </w:r>
      <w:r/>
    </w:p>
    <w:p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выбора темы исследования, которую необходимо согласовать с научным руководителем, студент приступает к следующему этапу – работой над введением.</w:t>
      </w:r>
      <w:r/>
    </w:p>
    <w:p>
      <w:pPr>
        <w:ind w:firstLine="720"/>
        <w:jc w:val="both"/>
      </w:pPr>
      <w:r/>
      <w:r/>
    </w:p>
    <w:p>
      <w:pPr>
        <w:pStyle w:val="742"/>
        <w:numPr>
          <w:ilvl w:val="0"/>
          <w:numId w:val="28"/>
        </w:numPr>
        <w:ind w:left="714" w:hanging="357"/>
        <w:jc w:val="center"/>
        <w:rPr>
          <w:b/>
          <w:sz w:val="28"/>
          <w:szCs w:val="28"/>
        </w:rPr>
        <w:outlineLvl w:val="0"/>
      </w:pPr>
      <w:r/>
      <w:bookmarkStart w:id="3" w:name="_Toc156137922"/>
      <w:r>
        <w:rPr>
          <w:b/>
          <w:sz w:val="28"/>
          <w:szCs w:val="28"/>
        </w:rPr>
        <w:t xml:space="preserve">НАУЧНОЕ РУКОВОДСТВО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ВЫПУСКНЫМИ КВАЛИФИКАЦИОННЫМИ РАБОТАМИ</w:t>
      </w:r>
      <w:bookmarkEnd w:id="3"/>
      <w:r/>
      <w:r/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Научное руков</w:t>
      </w:r>
      <w:r>
        <w:rPr>
          <w:sz w:val="28"/>
          <w:szCs w:val="28"/>
        </w:rPr>
        <w:t xml:space="preserve">одство выпускными квалификационными работами осуществляется профессорско-преподавательским составом из числа кандидатов психологических наук, докторов психологических наук и работодателей, принимающих участие в реализации данной образовательной программы. </w:t>
      </w:r>
      <w:r/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Возможны научные консультанты из числа руководящих лиц, являющихся потенциальными работодателями и профильных специалистов. </w:t>
      </w:r>
      <w:r/>
    </w:p>
    <w:p>
      <w:pPr>
        <w:pStyle w:val="742"/>
        <w:numPr>
          <w:ilvl w:val="1"/>
          <w:numId w:val="28"/>
        </w:numPr>
        <w:ind w:left="1077"/>
        <w:jc w:val="center"/>
        <w:rPr>
          <w:sz w:val="28"/>
          <w:szCs w:val="28"/>
          <w:u w:val="single"/>
        </w:rPr>
        <w:outlineLvl w:val="1"/>
      </w:pPr>
      <w:r/>
      <w:bookmarkStart w:id="4" w:name="_Toc156137923"/>
      <w:r>
        <w:rPr>
          <w:sz w:val="28"/>
          <w:szCs w:val="28"/>
          <w:u w:val="single"/>
        </w:rPr>
        <w:t xml:space="preserve">Порядок выполнения и предоставления выпускной квалификационной работы</w:t>
      </w:r>
      <w:bookmarkEnd w:id="4"/>
      <w:r/>
      <w:r/>
    </w:p>
    <w:p>
      <w:pPr>
        <w:ind w:firstLine="720"/>
        <w:jc w:val="both"/>
        <w:shd w:val="clear" w:color="auto" w:fill="ffffff"/>
        <w:rPr>
          <w:color w:val="000000"/>
          <w:sz w:val="28"/>
          <w:szCs w:val="28"/>
        </w:rPr>
      </w:pPr>
      <w:r/>
      <w:bookmarkStart w:id="5" w:name="_Toc147701866"/>
      <w:r>
        <w:rPr>
          <w:sz w:val="28"/>
          <w:szCs w:val="28"/>
        </w:rPr>
        <w:t xml:space="preserve">Время работы студента над выполнением выпускной квалификационной работы и на ее защиту устанавливается учебным планом образовательной программы с учетом требований соответствующего государственного образовательного стандарта.</w:t>
      </w:r>
      <w:r/>
    </w:p>
    <w:p>
      <w:pPr>
        <w:ind w:firstLine="720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Секретарю ГЭК за две недели до назначенной защиты ВКР представляются следующие документы: текст работы в электронной форме; бумажный экземпляр работы; письменный отзыв научного руководителя. </w:t>
      </w:r>
      <w:r/>
    </w:p>
    <w:p>
      <w:pPr>
        <w:ind w:firstLine="709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Научный руководитель представляет письменный отзыв, в котором оцениваются теоретические знания и практические навыки студента по исследуемой проблеме в области психологической науки, проявленные им в процессе написания дипломной работы. Также указываются с</w:t>
      </w:r>
      <w:r>
        <w:rPr>
          <w:sz w:val="28"/>
          <w:szCs w:val="28"/>
        </w:rPr>
        <w:t xml:space="preserve">оответствие содержания выпускной квалификационной работы целевой установке, научный уровень, полнота и качество разработки темы, степень новизны темы дипломной работы, степень самостоятельности, инициативы и творчества студента при выполнении работы, умени</w:t>
      </w:r>
      <w:r>
        <w:rPr>
          <w:sz w:val="28"/>
          <w:szCs w:val="28"/>
        </w:rPr>
        <w:t xml:space="preserve">я и навыки, полученные студентами в процессе работы, личный вклад студента в обосн</w:t>
      </w:r>
      <w:r>
        <w:rPr>
          <w:sz w:val="28"/>
          <w:szCs w:val="28"/>
        </w:rPr>
        <w:t xml:space="preserve">ование выводов и предложений, соблюдение графика выполнения выпускной квалификационной работы. Заканчивается отзыв выводом о сформированности требуемых компетенций у студента и возможности (невозможности) допуска выпускной квалификационной работы к защите.</w:t>
      </w:r>
      <w:r/>
    </w:p>
    <w:p>
      <w:pPr>
        <w:ind w:firstLine="709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Далее работа отправляется для проверки в Методический центр компьютеризации учебного процесса (МЦКУП) на предмет выявления заимствований. После получения</w:t>
      </w:r>
      <w:r>
        <w:rPr>
          <w:sz w:val="28"/>
          <w:szCs w:val="28"/>
        </w:rPr>
        <w:t xml:space="preserve"> положительного заключения об оригинальности работы руководитель ООП на основании изучения отзыва научного руководителя и заключения об оригинальности принимает решение о допуске работы к защите, делая об этом соответствующую запись на титульном листе ВКР.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Выполнение выпускной квалификационной работы предполагает несколько взаимосвязанных этапов. Недостаточное внимание или пренебрежение любым из них, влечет за собой снижение общего качества выполняемой работы.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Этап 1. Подготовительный.</w:t>
      </w:r>
      <w:r>
        <w:rPr>
          <w:sz w:val="28"/>
          <w:szCs w:val="28"/>
        </w:rPr>
        <w:t xml:space="preserve"> Выбор темы, согласование ее с научным руководителем, утверждение темы на заседании кафедры. Определение цели, задач, структуры работы, составление календарного плана выполнения выпускной работы. Обязательное его согласование с научным руководителем.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Этап 2. Теоретический.</w:t>
      </w:r>
      <w:r>
        <w:rPr>
          <w:sz w:val="28"/>
          <w:szCs w:val="28"/>
        </w:rPr>
        <w:t xml:space="preserve"> Составление б</w:t>
      </w:r>
      <w:r>
        <w:rPr>
          <w:sz w:val="28"/>
          <w:szCs w:val="28"/>
        </w:rPr>
        <w:t xml:space="preserve">иблиографического списка. Сбор, анализ, обобщение теоретического материала по теме исследования. Обоснование актуальности проблемы исследования. Определение основных рабочих понятий, центральных теоретических положений, формулировка гипотезы исследования.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Этап 3. Методический.</w:t>
      </w:r>
      <w:r>
        <w:rPr>
          <w:sz w:val="28"/>
          <w:szCs w:val="28"/>
        </w:rPr>
        <w:t xml:space="preserve"> Подбор и обоснование методов и методик исследования. Составление плана (программы) эмпирического исследования. </w:t>
      </w:r>
      <w:r>
        <w:rPr>
          <w:sz w:val="28"/>
          <w:szCs w:val="28"/>
        </w:rPr>
        <w:t xml:space="preserve">Подготовка необходимого инструментария. Пилотажное исследование.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Этап 4. Эмпирический.</w:t>
      </w:r>
      <w:r>
        <w:rPr>
          <w:sz w:val="28"/>
          <w:szCs w:val="28"/>
        </w:rPr>
        <w:t xml:space="preserve"> Реализация составленной и апробированной программы исследования, сбор данных.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Этап 5. Аналитический.</w:t>
      </w:r>
      <w:r>
        <w:rPr>
          <w:sz w:val="28"/>
          <w:szCs w:val="28"/>
        </w:rPr>
        <w:t xml:space="preserve"> Обсуждение полученных данных, их качественный и количественный анализ, обобщение и интерпретация результатов. Формулировка выводов и рекомендаций по результатам исследования. Подтверждение или не подтверждение гипотезы.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Этап 6. Оформительский.</w:t>
      </w:r>
      <w:r>
        <w:rPr>
          <w:sz w:val="28"/>
          <w:szCs w:val="28"/>
        </w:rPr>
        <w:t xml:space="preserve"> Окончательное оформление работы, сдача ее для оценки, написание отзыва научным руководителем. Подготовка доклада для защиты выполненной работы и презентации (схемы, рисунки, таблицы). </w:t>
      </w:r>
      <w:r/>
    </w:p>
    <w:p>
      <w:pPr>
        <w:ind w:firstLine="720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1.</w:t>
      </w:r>
      <w:r/>
    </w:p>
    <w:p>
      <w:pPr>
        <w:ind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Сроки выполнения каждого этапа</w:t>
      </w:r>
      <w:r/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1E0" w:firstRow="1" w:lastRow="1" w:firstColumn="1" w:lastColumn="1" w:noHBand="0" w:noVBand="0"/>
      </w:tblPr>
      <w:tblGrid>
        <w:gridCol w:w="5508"/>
        <w:gridCol w:w="4063"/>
      </w:tblGrid>
      <w:tr>
        <w:trPr/>
        <w:tc>
          <w:tcPr>
            <w:tcW w:w="5508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Этапы выполнения работы</w:t>
            </w:r>
            <w:r/>
          </w:p>
        </w:tc>
        <w:tc>
          <w:tcPr>
            <w:tcW w:w="4063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Сроки выполнения работы</w:t>
            </w:r>
            <w:r/>
          </w:p>
        </w:tc>
      </w:tr>
      <w:tr>
        <w:trPr/>
        <w:tc>
          <w:tcPr>
            <w:tcW w:w="5508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 xml:space="preserve">Этап 1. Подготовительный</w:t>
            </w:r>
            <w:r/>
          </w:p>
        </w:tc>
        <w:tc>
          <w:tcPr>
            <w:tcW w:w="4063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Сентябрь-октябрь</w:t>
            </w:r>
            <w:r/>
          </w:p>
        </w:tc>
      </w:tr>
      <w:tr>
        <w:trPr/>
        <w:tc>
          <w:tcPr>
            <w:tcW w:w="5508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 xml:space="preserve">Этап 2. Теоретический</w:t>
            </w:r>
            <w:r/>
          </w:p>
        </w:tc>
        <w:tc>
          <w:tcPr>
            <w:tcW w:w="4063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Октябрь-ноябрь</w:t>
            </w:r>
            <w:r/>
          </w:p>
        </w:tc>
      </w:tr>
      <w:tr>
        <w:trPr/>
        <w:tc>
          <w:tcPr>
            <w:tcW w:w="5508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 xml:space="preserve">Этап 3. Методический</w:t>
            </w:r>
            <w:r/>
          </w:p>
        </w:tc>
        <w:tc>
          <w:tcPr>
            <w:tcW w:w="4063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Декабрь-январь</w:t>
            </w:r>
            <w:r/>
          </w:p>
        </w:tc>
      </w:tr>
      <w:tr>
        <w:trPr/>
        <w:tc>
          <w:tcPr>
            <w:tcW w:w="5508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 xml:space="preserve">Этап 4. Эмпирический</w:t>
            </w:r>
            <w:r/>
          </w:p>
        </w:tc>
        <w:tc>
          <w:tcPr>
            <w:tcW w:w="4063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Февраль-март </w:t>
            </w:r>
            <w:r/>
          </w:p>
        </w:tc>
      </w:tr>
      <w:tr>
        <w:trPr/>
        <w:tc>
          <w:tcPr>
            <w:tcW w:w="5508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 xml:space="preserve">Этап 5. Аналитический</w:t>
            </w:r>
            <w:r/>
          </w:p>
        </w:tc>
        <w:tc>
          <w:tcPr>
            <w:tcW w:w="4063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Март-апрель </w:t>
            </w:r>
            <w:r/>
          </w:p>
        </w:tc>
      </w:tr>
      <w:tr>
        <w:trPr/>
        <w:tc>
          <w:tcPr>
            <w:tcW w:w="5508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 xml:space="preserve">Этап 6. Оформительский</w:t>
            </w:r>
            <w:r/>
          </w:p>
        </w:tc>
        <w:tc>
          <w:tcPr>
            <w:tcW w:w="4063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Апрель -май</w:t>
            </w:r>
            <w:r/>
          </w:p>
        </w:tc>
      </w:tr>
      <w:tr>
        <w:trPr/>
        <w:tc>
          <w:tcPr>
            <w:tcW w:w="5508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Предварительная оценка степени готовности дипломной работы (предварительная защита с получением допуска к защите работы, проверка на Антиплагиат).</w:t>
            </w:r>
            <w:r/>
          </w:p>
        </w:tc>
        <w:tc>
          <w:tcPr>
            <w:tcW w:w="4063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 </w:t>
            </w:r>
            <w:r/>
          </w:p>
        </w:tc>
      </w:tr>
      <w:tr>
        <w:trPr/>
        <w:tc>
          <w:tcPr>
            <w:tcW w:w="5508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Окончательное оформление работы, представление ее для оценки научному руководителю</w:t>
            </w:r>
            <w:r/>
          </w:p>
        </w:tc>
        <w:tc>
          <w:tcPr>
            <w:tcW w:w="4063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позднее, чем за 3 недели до защиты</w:t>
            </w:r>
            <w:r/>
          </w:p>
        </w:tc>
      </w:tr>
      <w:tr>
        <w:trPr/>
        <w:tc>
          <w:tcPr>
            <w:tcW w:w="5508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Ознакомление студента с отзывом научного руководителя </w:t>
            </w:r>
            <w:r/>
          </w:p>
        </w:tc>
        <w:tc>
          <w:tcPr>
            <w:tcW w:w="4063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позднее, чем за 5 дней до защиты</w:t>
            </w:r>
            <w:r/>
          </w:p>
        </w:tc>
      </w:tr>
      <w:tr>
        <w:trPr/>
        <w:tc>
          <w:tcPr>
            <w:tcW w:w="5508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Защита выполненной работы</w:t>
            </w:r>
            <w:r/>
          </w:p>
        </w:tc>
        <w:tc>
          <w:tcPr>
            <w:tcW w:w="4063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Дата защиты работы устанавливается – факультетом</w:t>
            </w:r>
            <w:r>
              <w:rPr>
                <w:sz w:val="24"/>
                <w:szCs w:val="24"/>
              </w:rPr>
              <w:t xml:space="preserve"> на основании графика учебного процесса</w:t>
            </w:r>
            <w:r/>
          </w:p>
        </w:tc>
      </w:tr>
    </w:tbl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Совместная работа студента и научного руководителя строится на основе самостоятельной работ</w:t>
      </w:r>
      <w:r>
        <w:rPr>
          <w:sz w:val="28"/>
          <w:szCs w:val="28"/>
        </w:rPr>
        <w:t xml:space="preserve">ы студента. В задачи руководителя входит: помощь в планировании и организации самостоятельной работы студента, рекомендации основной литературы и возможных способов регистрации, анализа и интерпретации данных, обсуждение возникающих вопросов, затруднений.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Ответственность за содержание и качество выпускной работы, точность полученных результатов несет студент-исполнитель.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42"/>
        <w:numPr>
          <w:ilvl w:val="0"/>
          <w:numId w:val="28"/>
        </w:numPr>
        <w:ind w:left="714" w:hanging="357"/>
        <w:jc w:val="center"/>
        <w:rPr>
          <w:b/>
          <w:sz w:val="28"/>
          <w:szCs w:val="28"/>
        </w:rPr>
        <w:outlineLvl w:val="0"/>
      </w:pPr>
      <w:r/>
      <w:bookmarkStart w:id="6" w:name="_Toc156137924"/>
      <w:r>
        <w:rPr>
          <w:b/>
          <w:sz w:val="28"/>
          <w:szCs w:val="28"/>
        </w:rPr>
        <w:t xml:space="preserve">СТРУКТУРА И СОДЕРЖАНИЕ </w:t>
      </w:r>
      <w:bookmarkEnd w:id="5"/>
      <w:r>
        <w:rPr>
          <w:b/>
          <w:sz w:val="28"/>
          <w:szCs w:val="28"/>
        </w:rPr>
        <w:t xml:space="preserve">ВКР</w:t>
      </w:r>
      <w:bookmarkStart w:id="7" w:name="_Toc147701867"/>
      <w:r/>
      <w:bookmarkEnd w:id="6"/>
      <w:r/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выпускной работы должен </w:t>
      </w:r>
      <w:r>
        <w:rPr>
          <w:sz w:val="28"/>
          <w:szCs w:val="28"/>
        </w:rPr>
        <w:t xml:space="preserve">составлять не менее 50-60 страниц печатного текста. В общий объем работы входят титульный лист (см. оформление прилож.1), содержание (оглавление) (см. оформление прилож.2), номера страниц на них не проставляются. Приложения в общий объем работы не входят.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структурными элементами выпускной квалификационной работы являются: титульный лист, содержание, введение, теоретическ</w:t>
      </w:r>
      <w:r>
        <w:rPr>
          <w:sz w:val="28"/>
          <w:szCs w:val="28"/>
        </w:rPr>
        <w:t xml:space="preserve">ая часть, практическая часть, выводы, заключение, библиографический список, приложения. Теоретическая и эмпирическая части работы оформляются в виде глав (с делением на параграфы). Рекомендуемый объем указанных структурных элементов представлен в табл. 2. </w:t>
      </w:r>
      <w:r/>
    </w:p>
    <w:p>
      <w:pPr>
        <w:ind w:firstLine="720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2. </w:t>
      </w:r>
      <w:r/>
    </w:p>
    <w:p>
      <w:pPr>
        <w:ind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Примерный объем структурных элементов выпускной квалификационной работы</w:t>
      </w:r>
      <w:r/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>
        <w:trPr/>
        <w:tc>
          <w:tcPr>
            <w:tcW w:w="4785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Структурные элементы выпускной квалификационной работы</w:t>
            </w:r>
            <w:r/>
          </w:p>
        </w:tc>
        <w:tc>
          <w:tcPr>
            <w:tcW w:w="4786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Объем в страницах</w:t>
            </w:r>
            <w:r/>
          </w:p>
        </w:tc>
      </w:tr>
      <w:tr>
        <w:trPr/>
        <w:tc>
          <w:tcPr>
            <w:tcW w:w="4785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Титульный лист</w:t>
            </w:r>
            <w:r>
              <w:rPr>
                <w:sz w:val="24"/>
                <w:szCs w:val="24"/>
              </w:rPr>
              <w:tab/>
            </w:r>
            <w:r/>
          </w:p>
        </w:tc>
        <w:tc>
          <w:tcPr>
            <w:tcW w:w="4786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</w:t>
            </w:r>
            <w:r/>
          </w:p>
        </w:tc>
      </w:tr>
      <w:tr>
        <w:trPr/>
        <w:tc>
          <w:tcPr>
            <w:tcW w:w="4785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Содержание</w:t>
            </w:r>
            <w:r>
              <w:rPr>
                <w:sz w:val="24"/>
                <w:szCs w:val="24"/>
              </w:rPr>
              <w:tab/>
            </w:r>
            <w:r/>
          </w:p>
        </w:tc>
        <w:tc>
          <w:tcPr>
            <w:tcW w:w="4786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</w:t>
            </w:r>
            <w:r/>
          </w:p>
        </w:tc>
      </w:tr>
      <w:tr>
        <w:trPr/>
        <w:tc>
          <w:tcPr>
            <w:tcW w:w="4785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Введение</w:t>
            </w:r>
            <w:r>
              <w:rPr>
                <w:sz w:val="24"/>
                <w:szCs w:val="24"/>
              </w:rPr>
              <w:tab/>
            </w:r>
            <w:r/>
          </w:p>
        </w:tc>
        <w:tc>
          <w:tcPr>
            <w:tcW w:w="4786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</w:t>
            </w:r>
            <w:r/>
          </w:p>
        </w:tc>
      </w:tr>
      <w:tr>
        <w:trPr/>
        <w:tc>
          <w:tcPr>
            <w:tcW w:w="4785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Теоретическая глава</w:t>
            </w:r>
            <w:r/>
          </w:p>
        </w:tc>
        <w:tc>
          <w:tcPr>
            <w:tcW w:w="4786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 30</w:t>
            </w:r>
            <w:r/>
          </w:p>
        </w:tc>
      </w:tr>
      <w:tr>
        <w:trPr/>
        <w:tc>
          <w:tcPr>
            <w:tcW w:w="4785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Эмпирическая глава</w:t>
            </w:r>
            <w:r/>
          </w:p>
        </w:tc>
        <w:tc>
          <w:tcPr>
            <w:tcW w:w="4786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 30</w:t>
            </w:r>
            <w:r/>
          </w:p>
        </w:tc>
      </w:tr>
      <w:tr>
        <w:trPr/>
        <w:tc>
          <w:tcPr>
            <w:tcW w:w="4785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Выводы</w:t>
            </w:r>
            <w:r>
              <w:rPr>
                <w:sz w:val="24"/>
                <w:szCs w:val="24"/>
              </w:rPr>
              <w:tab/>
            </w:r>
            <w:r/>
          </w:p>
        </w:tc>
        <w:tc>
          <w:tcPr>
            <w:tcW w:w="4786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2-3</w:t>
            </w:r>
            <w:r/>
          </w:p>
        </w:tc>
      </w:tr>
      <w:tr>
        <w:trPr/>
        <w:tc>
          <w:tcPr>
            <w:tcW w:w="4785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Заключение</w:t>
            </w:r>
            <w:r>
              <w:rPr>
                <w:sz w:val="24"/>
                <w:szCs w:val="24"/>
              </w:rPr>
              <w:tab/>
            </w:r>
            <w:r/>
          </w:p>
        </w:tc>
        <w:tc>
          <w:tcPr>
            <w:tcW w:w="4786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2-3</w:t>
            </w:r>
            <w:r/>
          </w:p>
        </w:tc>
      </w:tr>
      <w:tr>
        <w:trPr/>
        <w:tc>
          <w:tcPr>
            <w:tcW w:w="4785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Список литературы</w:t>
            </w:r>
            <w:r>
              <w:rPr>
                <w:sz w:val="24"/>
                <w:szCs w:val="24"/>
              </w:rPr>
              <w:tab/>
              <w:t xml:space="preserve"> </w:t>
            </w:r>
            <w:r/>
          </w:p>
        </w:tc>
        <w:tc>
          <w:tcPr>
            <w:tcW w:w="4786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3-4</w:t>
            </w:r>
            <w:r/>
          </w:p>
        </w:tc>
      </w:tr>
      <w:tr>
        <w:trPr/>
        <w:tc>
          <w:tcPr>
            <w:tcW w:w="4785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Итого </w:t>
            </w:r>
            <w:r/>
          </w:p>
        </w:tc>
        <w:tc>
          <w:tcPr>
            <w:tcW w:w="4786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50-</w:t>
            </w:r>
            <w:r>
              <w:rPr>
                <w:sz w:val="24"/>
                <w:szCs w:val="24"/>
              </w:rPr>
              <w:t xml:space="preserve">75</w:t>
            </w:r>
            <w:r/>
          </w:p>
        </w:tc>
      </w:tr>
      <w:tr>
        <w:trPr/>
        <w:tc>
          <w:tcPr>
            <w:tcW w:w="4785" w:type="dxa"/>
            <w:textDirection w:val="lrTb"/>
            <w:noWrap w:val="false"/>
          </w:tcPr>
          <w:p>
            <w:pPr>
              <w:keepNext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Приложение </w:t>
            </w:r>
            <w:r/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4786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Размещают вспомогательные или дополнительные материалы, которые загромождают текст основной части квалификационной работы (бланки методик, анкет, таблицы вспомогательных данных, инструкции, методики, рисунки, фотографии)</w:t>
            </w:r>
            <w:r>
              <w:rPr>
                <w:i/>
                <w:sz w:val="24"/>
                <w:szCs w:val="24"/>
              </w:rPr>
              <w:t xml:space="preserve">.</w:t>
            </w:r>
            <w:r>
              <w:rPr>
                <w:sz w:val="24"/>
                <w:szCs w:val="24"/>
              </w:rPr>
              <w:t xml:space="preserve"> </w:t>
            </w:r>
            <w:r/>
          </w:p>
        </w:tc>
      </w:tr>
    </w:tbl>
    <w:p>
      <w:pPr>
        <w:jc w:val="both"/>
        <w:spacing w:line="360" w:lineRule="auto"/>
        <w:tabs>
          <w:tab w:val="left" w:pos="1740" w:leader="none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</w:r>
      <w:r/>
    </w:p>
    <w:p>
      <w:pPr>
        <w:pStyle w:val="742"/>
        <w:numPr>
          <w:ilvl w:val="1"/>
          <w:numId w:val="28"/>
        </w:numPr>
        <w:ind w:left="1077"/>
        <w:jc w:val="center"/>
        <w:rPr>
          <w:sz w:val="28"/>
          <w:szCs w:val="28"/>
          <w:u w:val="single"/>
        </w:rPr>
        <w:outlineLvl w:val="1"/>
      </w:pPr>
      <w:r/>
      <w:bookmarkStart w:id="8" w:name="_Toc156137925"/>
      <w:r>
        <w:rPr>
          <w:sz w:val="28"/>
          <w:szCs w:val="28"/>
          <w:u w:val="single"/>
        </w:rPr>
        <w:t xml:space="preserve">Работа над введением выпускной квалификационной работы</w:t>
      </w:r>
      <w:bookmarkEnd w:id="8"/>
      <w:r/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Введение представляет собой краткое, сжатое представление дипломной работы. Оно не только привлекает внимание к пре</w:t>
      </w:r>
      <w:r>
        <w:rPr>
          <w:sz w:val="28"/>
          <w:szCs w:val="28"/>
        </w:rPr>
        <w:t xml:space="preserve">длагаемому труду, но и освещает его значимость, подчеркивает имеющиеся достоинства, указывает на объем проделанной работы, обосновывает достоверность полученных результатов. Рекомендуемый план и содержание основных пунктов введения представлены в табл. 3. </w:t>
      </w:r>
      <w:r/>
    </w:p>
    <w:p>
      <w:pPr>
        <w:ind w:firstLine="720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3. </w:t>
      </w:r>
      <w:r/>
    </w:p>
    <w:p>
      <w:pPr>
        <w:ind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Рекомендации по написанию введения выпускной квалификационной работы</w:t>
      </w:r>
      <w:r/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1E0" w:firstRow="1" w:lastRow="1" w:firstColumn="1" w:lastColumn="1" w:noHBand="0" w:noVBand="0"/>
      </w:tblPr>
      <w:tblGrid>
        <w:gridCol w:w="3888"/>
        <w:gridCol w:w="5580"/>
      </w:tblGrid>
      <w:tr>
        <w:trPr/>
        <w:tc>
          <w:tcPr>
            <w:tcW w:w="3888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План введения</w:t>
            </w:r>
            <w:r/>
          </w:p>
        </w:tc>
        <w:tc>
          <w:tcPr>
            <w:tcW w:w="5580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Содержание</w:t>
            </w:r>
            <w:r/>
          </w:p>
        </w:tc>
      </w:tr>
      <w:tr>
        <w:trPr/>
        <w:tc>
          <w:tcPr>
            <w:tcW w:w="3888" w:type="dxa"/>
            <w:textDirection w:val="lrTb"/>
            <w:noWrap w:val="false"/>
          </w:tcPr>
          <w:p>
            <w:r>
              <w:t xml:space="preserve">1. Проблема исследования, ее актуальность для теории и практики</w:t>
            </w:r>
            <w:r/>
          </w:p>
        </w:tc>
        <w:tc>
          <w:tcPr>
            <w:tcW w:w="5580" w:type="dxa"/>
            <w:textDirection w:val="lrTb"/>
            <w:noWrap w:val="false"/>
          </w:tcPr>
          <w:p>
            <w:r>
              <w:t xml:space="preserve">Вопрос или комплекс вопросов, отражающих противоречие между известным и неизвестным в объекте и предмете исследования, решение которых имеет практический или теоретический интерес, заключение о необходимости и важности исследования</w:t>
            </w:r>
            <w:r/>
          </w:p>
        </w:tc>
      </w:tr>
      <w:tr>
        <w:trPr/>
        <w:tc>
          <w:tcPr>
            <w:tcW w:w="3888" w:type="dxa"/>
            <w:textDirection w:val="lrTb"/>
            <w:noWrap w:val="false"/>
          </w:tcPr>
          <w:p>
            <w:r>
              <w:t xml:space="preserve">2. Степень научно-теоретической разработанности проблемы</w:t>
            </w:r>
            <w:r/>
          </w:p>
        </w:tc>
        <w:tc>
          <w:tcPr>
            <w:tcW w:w="5580" w:type="dxa"/>
            <w:textDirection w:val="lrTb"/>
            <w:noWrap w:val="false"/>
          </w:tcPr>
          <w:p>
            <w:r>
              <w:t xml:space="preserve">Обычно в этой части называю</w:t>
            </w:r>
            <w:r>
              <w:t xml:space="preserve">тся базовые теоретические работы по исследуемой социально-психологической проблеме. Некоторые, особо важные теоретические источники для выпускной работы, анализируются подробнее. В конце обязательно делается общий вывод о степени разработанности проблемы. </w:t>
            </w:r>
            <w:r/>
          </w:p>
        </w:tc>
      </w:tr>
      <w:tr>
        <w:trPr/>
        <w:tc>
          <w:tcPr>
            <w:tcW w:w="3888" w:type="dxa"/>
            <w:textDirection w:val="lrTb"/>
            <w:noWrap w:val="false"/>
          </w:tcPr>
          <w:p>
            <w:r>
              <w:t xml:space="preserve">3. Цель работы</w:t>
            </w:r>
            <w:r/>
          </w:p>
        </w:tc>
        <w:tc>
          <w:tcPr>
            <w:tcW w:w="5580" w:type="dxa"/>
            <w:textDirection w:val="lrTb"/>
            <w:noWrap w:val="false"/>
          </w:tcPr>
          <w:p>
            <w:pPr>
              <w:rPr>
                <w:b/>
                <w:bCs/>
                <w:color w:val="000000" w:themeColor="text1"/>
              </w:rPr>
            </w:pPr>
            <w:r>
              <w:rPr>
                <w:color w:val="000000" w:themeColor="text1"/>
              </w:rPr>
              <w:t xml:space="preserve">Это то, что должно быть достигнуто в резу</w:t>
            </w:r>
            <w:r>
              <w:rPr>
                <w:color w:val="000000" w:themeColor="text1"/>
              </w:rPr>
              <w:t xml:space="preserve">льтате работы автором исследования. Цель должна соответствовать теме исследования. Цель формулируется из проблемы исследования, в ней объясняется, что именно исследователь будет делать с предметом: исследовать, анализировать, выявлять, формулировать и др. </w:t>
            </w:r>
            <w:r>
              <w:rPr>
                <w:b/>
                <w:color w:val="000000" w:themeColor="text1"/>
              </w:rPr>
              <w:t xml:space="preserve">Не рекомендуется писать: «рассмотреть».</w:t>
            </w:r>
            <w:r/>
          </w:p>
          <w:p>
            <w:pPr>
              <w:rPr>
                <w:color w:val="000000" w:themeColor="text1"/>
              </w:rPr>
            </w:pPr>
            <w:r>
              <w:rPr>
                <w:rFonts w:eastAsia="Arial"/>
                <w:i/>
                <w:color w:val="000000" w:themeColor="text1"/>
                <w:highlight w:val="white"/>
              </w:rPr>
              <w:t xml:space="preserve">Цель работы характеризует ее ожидаемый результат.</w:t>
            </w:r>
            <w:r/>
          </w:p>
        </w:tc>
      </w:tr>
      <w:tr>
        <w:trPr/>
        <w:tc>
          <w:tcPr>
            <w:tcW w:w="3888" w:type="dxa"/>
            <w:textDirection w:val="lrTb"/>
            <w:noWrap w:val="false"/>
          </w:tcPr>
          <w:p>
            <w:r>
              <w:t xml:space="preserve">4. Задачи работы</w:t>
            </w:r>
            <w:r/>
          </w:p>
        </w:tc>
        <w:tc>
          <w:tcPr>
            <w:tcW w:w="5580" w:type="dxa"/>
            <w:textDirection w:val="lrTb"/>
            <w:noWrap w:val="false"/>
          </w:tcPr>
          <w:p>
            <w:r>
              <w:t xml:space="preserve">Последовательные шаги на пути достижения цели работы. Выдвижение и решение задач должно позволять достичь поставленной цели (задачи не могут быть шире, чем цель, и не могут выходить за рамки цели). Принято формулировать 4-6 задач в бакалаврской работе. </w:t>
            </w:r>
            <w:r/>
          </w:p>
          <w:p>
            <w:r>
              <w:t xml:space="preserve">Задачи исследования должны соответствовать проблеме и предмету исследования. Формулировки этих зада</w:t>
            </w:r>
            <w:r>
              <w:t xml:space="preserve">ч необходимо делать как можно более тщательно, поскольку описание их решения должно составить содержание глав исследовательской работы. Это важно также и потому, что заголовки таких глав рождаются именно из формулировок задач предпринимаемого исследования.</w:t>
            </w:r>
            <w:r/>
          </w:p>
        </w:tc>
      </w:tr>
      <w:tr>
        <w:trPr/>
        <w:tc>
          <w:tcPr>
            <w:tcW w:w="3888" w:type="dxa"/>
            <w:textDirection w:val="lrTb"/>
            <w:noWrap w:val="false"/>
          </w:tcPr>
          <w:p>
            <w:r>
              <w:t xml:space="preserve">5. Объект исследования </w:t>
            </w:r>
            <w:r/>
          </w:p>
        </w:tc>
        <w:tc>
          <w:tcPr>
            <w:tcW w:w="5580" w:type="dxa"/>
            <w:textDirection w:val="lrTb"/>
            <w:noWrap w:val="false"/>
          </w:tcPr>
          <w:p>
            <w:pPr>
              <w:tabs>
                <w:tab w:val="num" w:pos="0" w:leader="none"/>
              </w:tabs>
            </w:pPr>
            <w:r>
              <w:t xml:space="preserve">Объект – это «актуальное поле исследования», в котором должен разобраться исследователь.</w:t>
            </w:r>
            <w:r/>
          </w:p>
          <w:p>
            <w:pPr>
              <w:tabs>
                <w:tab w:val="num" w:pos="0" w:leader="none"/>
              </w:tabs>
              <w:rPr>
                <w:color w:val="000000" w:themeColor="text1"/>
              </w:rPr>
            </w:pPr>
            <w:r>
              <w:rPr>
                <w:rFonts w:eastAsia="Arial"/>
                <w:color w:val="000000" w:themeColor="text1"/>
                <w:highlight w:val="white"/>
              </w:rPr>
              <w:t xml:space="preserve">Объектом исследования</w:t>
            </w:r>
            <w:r>
              <w:rPr>
                <w:rFonts w:eastAsia="Arial"/>
                <w:color w:val="000000" w:themeColor="text1"/>
                <w:highlight w:val="white"/>
              </w:rPr>
              <w:t xml:space="preserve"> является фрагмент реальности, который изучается. Объектами психологического исследования могут быть: индивид, группа людей, а  также определенные формы поведения, деятельности людей, психические явления (процессы, состояния, свойства). </w:t>
            </w:r>
            <w:r>
              <w:rPr>
                <w:color w:val="000000" w:themeColor="text1"/>
              </w:rPr>
              <w:t xml:space="preserve">.</w:t>
            </w:r>
            <w:r/>
          </w:p>
          <w:p>
            <w:pPr>
              <w:tabs>
                <w:tab w:val="num" w:pos="0" w:leader="none"/>
              </w:tabs>
              <w:rPr>
                <w:color w:val="000000" w:themeColor="text1"/>
              </w:rPr>
            </w:pPr>
            <w:r>
              <w:rPr>
                <w:rFonts w:eastAsia="Arial"/>
                <w:color w:val="000000" w:themeColor="text1"/>
              </w:rPr>
              <w:t xml:space="preserve">Э</w:t>
            </w:r>
            <w:r>
              <w:rPr>
                <w:rFonts w:eastAsia="Arial"/>
                <w:color w:val="000000" w:themeColor="text1"/>
                <w:highlight w:val="white"/>
              </w:rPr>
              <w:t xml:space="preserve">то, как правило, процесс, некоторое явление, ко</w:t>
            </w:r>
            <w:r>
              <w:rPr>
                <w:rFonts w:eastAsia="Arial"/>
                <w:color w:val="000000" w:themeColor="text1"/>
                <w:highlight w:val="white"/>
              </w:rPr>
              <w:t xml:space="preserve">торое существует независимо от субъекта познания и на которое обращено внимание исследователя</w:t>
            </w:r>
            <w:r/>
          </w:p>
        </w:tc>
      </w:tr>
      <w:tr>
        <w:trPr/>
        <w:tc>
          <w:tcPr>
            <w:tcW w:w="3888" w:type="dxa"/>
            <w:textDirection w:val="lrTb"/>
            <w:noWrap w:val="false"/>
          </w:tcPr>
          <w:p>
            <w:r>
              <w:t xml:space="preserve">6. Предмет исследования</w:t>
            </w:r>
            <w:r/>
          </w:p>
        </w:tc>
        <w:tc>
          <w:tcPr>
            <w:tcW w:w="5580" w:type="dxa"/>
            <w:textDirection w:val="lrTb"/>
            <w:noWrap w:val="false"/>
          </w:tcPr>
          <w:p>
            <w:pPr>
              <w:tabs>
                <w:tab w:val="num" w:pos="900" w:leader="none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Предмет исследования: часть, сторона или отдельный аспект явления, отдельный этап процесса, факторы и условия их проявления и протекания.</w:t>
            </w:r>
            <w:r/>
          </w:p>
          <w:p>
            <w:pPr>
              <w:tabs>
                <w:tab w:val="num" w:pos="900" w:leader="none"/>
              </w:tabs>
              <w:rPr>
                <w:rFonts w:eastAsia="Arial"/>
                <w:color w:val="000000" w:themeColor="text1"/>
              </w:rPr>
            </w:pPr>
            <w:r>
              <w:rPr>
                <w:color w:val="000000" w:themeColor="text1"/>
              </w:rPr>
              <w:t xml:space="preserve">Предмет исследования</w:t>
            </w:r>
            <w:r>
              <w:rPr>
                <w:color w:val="000000" w:themeColor="text1"/>
              </w:rPr>
              <w:t xml:space="preserve"> </w:t>
            </w:r>
            <w:r>
              <w:rPr>
                <w:rFonts w:eastAsia="Arial"/>
                <w:color w:val="000000" w:themeColor="text1"/>
                <w:highlight w:val="white"/>
              </w:rPr>
              <w:t xml:space="preserve">конкретнее по своему содержанию: в предмете исследования фиксируется то свойство или отношение в объекте, которое в данном случае подлежит глубокому специальному изучению. В одном и том же объекте могут быть выделены различные предметы исследования.</w:t>
            </w:r>
            <w:r/>
          </w:p>
          <w:p>
            <w:pPr>
              <w:tabs>
                <w:tab w:val="num" w:pos="900" w:leader="none"/>
              </w:tabs>
              <w:rPr>
                <w:color w:val="000000" w:themeColor="text1"/>
              </w:rPr>
            </w:pPr>
            <w:r>
              <w:rPr>
                <w:rFonts w:eastAsia="Arial"/>
                <w:color w:val="000000" w:themeColor="text1"/>
              </w:rPr>
              <w:t xml:space="preserve">П</w:t>
            </w:r>
            <w:r>
              <w:rPr>
                <w:rFonts w:eastAsia="Arial"/>
                <w:color w:val="000000" w:themeColor="text1"/>
                <w:highlight w:val="white"/>
              </w:rPr>
              <w:t xml:space="preserve">редметом исследования могут стать определенные психологические факторы, механизмы, закономерности. Если объектом исследования являются психические процессы, то предметом могут стать структура, взаимосвязи, механизмы.</w:t>
            </w:r>
            <w:r/>
          </w:p>
        </w:tc>
      </w:tr>
      <w:tr>
        <w:trPr/>
        <w:tc>
          <w:tcPr>
            <w:tcW w:w="3888" w:type="dxa"/>
            <w:textDirection w:val="lrTb"/>
            <w:noWrap w:val="false"/>
          </w:tcPr>
          <w:p>
            <w:r>
              <w:t xml:space="preserve">7. Гипотеза</w:t>
            </w:r>
            <w:r/>
          </w:p>
        </w:tc>
        <w:tc>
          <w:tcPr>
            <w:tcW w:w="5580" w:type="dxa"/>
            <w:textDirection w:val="lrTb"/>
            <w:noWrap w:val="false"/>
          </w:tcPr>
          <w:p>
            <w:r>
              <w:t xml:space="preserve">Гипотеза - это предположение, которое нужно подтвердить или опровергнуть в ходе исследования</w:t>
            </w:r>
            <w:r/>
          </w:p>
        </w:tc>
      </w:tr>
      <w:tr>
        <w:trPr/>
        <w:tc>
          <w:tcPr>
            <w:tcW w:w="3888" w:type="dxa"/>
            <w:textDirection w:val="lrTb"/>
            <w:noWrap w:val="false"/>
          </w:tcPr>
          <w:p>
            <w:r>
              <w:t xml:space="preserve">8. Описание методов исследования</w:t>
            </w:r>
            <w:r/>
          </w:p>
        </w:tc>
        <w:tc>
          <w:tcPr>
            <w:tcW w:w="5580" w:type="dxa"/>
            <w:textDirection w:val="lrTb"/>
            <w:noWrap w:val="false"/>
          </w:tcPr>
          <w:p>
            <w:r>
              <w:t xml:space="preserve">Методы исследования – это представляющие собой последовательно применяемые исследователем способы познания социальных явлений с целью построения и обоснования системы з</w:t>
            </w:r>
            <w:r>
              <w:t xml:space="preserve">наний. В работе перечисляются и обосновываются предполагаемые методы исследования эмпирических, аналитических методов, которые служат инструментом в добывании фактического материала, являясь необходимым условием достижения поставленной в такой работе цели.</w:t>
            </w:r>
            <w:r/>
          </w:p>
        </w:tc>
      </w:tr>
      <w:tr>
        <w:trPr/>
        <w:tc>
          <w:tcPr>
            <w:tcW w:w="3888" w:type="dxa"/>
            <w:textDirection w:val="lrTb"/>
            <w:noWrap w:val="false"/>
          </w:tcPr>
          <w:p>
            <w:r>
              <w:t xml:space="preserve">9. Новизна результатов работы</w:t>
            </w:r>
            <w:r/>
          </w:p>
        </w:tc>
        <w:tc>
          <w:tcPr>
            <w:tcW w:w="5580" w:type="dxa"/>
            <w:textDirection w:val="lrTb"/>
            <w:noWrap w:val="false"/>
          </w:tcPr>
          <w:p>
            <w:r>
              <w:t xml:space="preserve">Какие результаты, выводы впервые получены именно в представляемой работе, что впервые было предпринято автором для их получения</w:t>
            </w:r>
            <w:r/>
          </w:p>
        </w:tc>
      </w:tr>
      <w:tr>
        <w:trPr/>
        <w:tc>
          <w:tcPr>
            <w:tcW w:w="3888" w:type="dxa"/>
            <w:textDirection w:val="lrTb"/>
            <w:noWrap w:val="false"/>
          </w:tcPr>
          <w:p>
            <w:r>
              <w:t xml:space="preserve">10. Теоретическая и практическая значимость</w:t>
            </w:r>
            <w:r/>
          </w:p>
        </w:tc>
        <w:tc>
          <w:tcPr>
            <w:tcW w:w="5580" w:type="dxa"/>
            <w:textDirection w:val="lrTb"/>
            <w:noWrap w:val="false"/>
          </w:tcPr>
          <w:p>
            <w:r>
              <w:t xml:space="preserve">Теоретическая значимость показывает влияние результатов исследования на существующие концепции, подходы, идеи, теоретические представления в области теории и истории психологии, характеризует ценностную сторону результатов исследования.</w:t>
            </w:r>
            <w:r/>
          </w:p>
          <w:p>
            <w:r>
              <w:t xml:space="preserve">Практичес</w:t>
            </w:r>
            <w:r>
              <w:t xml:space="preserve">кая значимость исследования. Оценка результатов исследования по этому параметру указывает на изменения, которые произошли или могут быть достигнуты в результате внедрения полученных результатов в практику, в воспитательный и образовательный процессы и т.д.</w:t>
            </w:r>
            <w:r/>
          </w:p>
        </w:tc>
      </w:tr>
    </w:tbl>
    <w:p>
      <w:pPr>
        <w:ind w:firstLine="720"/>
        <w:jc w:val="both"/>
      </w:pPr>
      <w:r/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Определяя проблему исследования, во введении следует представить краткий анализ ситуации в теории и практике, поскольку подобному анализу посвящается первая глава работы. Цели и задачи исследования формулируются глаголами в неопределенной форме.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42"/>
        <w:numPr>
          <w:ilvl w:val="1"/>
          <w:numId w:val="28"/>
        </w:numPr>
        <w:ind w:left="1077"/>
        <w:jc w:val="center"/>
        <w:rPr>
          <w:sz w:val="28"/>
          <w:szCs w:val="28"/>
          <w:u w:val="single"/>
        </w:rPr>
        <w:outlineLvl w:val="1"/>
      </w:pPr>
      <w:r/>
      <w:bookmarkStart w:id="9" w:name="_Toc156137926"/>
      <w:r>
        <w:rPr>
          <w:sz w:val="28"/>
          <w:szCs w:val="28"/>
          <w:u w:val="single"/>
        </w:rPr>
        <w:t xml:space="preserve">Этап написания основной части работы</w:t>
      </w:r>
      <w:bookmarkEnd w:id="9"/>
      <w:r/>
      <w:r/>
    </w:p>
    <w:p>
      <w:pPr>
        <w:pStyle w:val="742"/>
        <w:numPr>
          <w:ilvl w:val="2"/>
          <w:numId w:val="28"/>
        </w:numPr>
        <w:ind w:left="1077"/>
        <w:jc w:val="center"/>
        <w:rPr>
          <w:sz w:val="28"/>
          <w:szCs w:val="28"/>
          <w:u w:val="single"/>
        </w:rPr>
        <w:outlineLvl w:val="2"/>
      </w:pPr>
      <w:r/>
      <w:bookmarkStart w:id="10" w:name="_Toc156137927"/>
      <w:r>
        <w:rPr>
          <w:sz w:val="28"/>
          <w:szCs w:val="28"/>
          <w:u w:val="single"/>
        </w:rPr>
        <w:t xml:space="preserve">Теоретическая часть</w:t>
      </w:r>
      <w:bookmarkEnd w:id="10"/>
      <w:r/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Теоретическая глава содержит обзор основных этапов развития научной мысл</w:t>
      </w:r>
      <w:r>
        <w:rPr>
          <w:sz w:val="28"/>
          <w:szCs w:val="28"/>
        </w:rPr>
        <w:t xml:space="preserve">и и практического опыта по решаемой проблеме на основе изучения научной литературы зарубежных и отечественных авторов по близким темам. Как правило, теоретическая часть выпускной квалификационной работы представлена одной главой, разделенной на параграфы.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Главы и параграфы должны иметь названия, указывающие на их содержание, в соответствии с темой и логикой работы. В наименовании не может звучать и словосочетание «теоретическая часть».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теоретической главе излагается история и основные подходы к исследованию проблемы, анализируются работы отечественных и зарубежных авторов по теме исследования, раскрывается сущност</w:t>
      </w:r>
      <w:r>
        <w:rPr>
          <w:sz w:val="28"/>
          <w:szCs w:val="28"/>
        </w:rPr>
        <w:t xml:space="preserve">ь и особенности объекта и предмета исследования, факторы, условия и основные закономерности развития и проявления, групповые и индивидуальные особенности, типологии и классификации. Основное внимание в теоретической главе уделяется анализу научных теорий.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Каждая глава и каждый параграф обязательно должны завершаться обобщением представленного материала и проведенного анализа, собственными выводами автора по поводу обсуждаемых вопросов.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Первая, теоретическая глава также завершается формулировкой общих теоретических выводов.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42"/>
        <w:numPr>
          <w:ilvl w:val="2"/>
          <w:numId w:val="28"/>
        </w:numPr>
        <w:ind w:left="1077"/>
        <w:jc w:val="center"/>
        <w:rPr>
          <w:sz w:val="28"/>
          <w:szCs w:val="28"/>
          <w:u w:val="single"/>
        </w:rPr>
        <w:outlineLvl w:val="2"/>
      </w:pPr>
      <w:r/>
      <w:bookmarkStart w:id="11" w:name="_Toc156137928"/>
      <w:r>
        <w:rPr>
          <w:sz w:val="28"/>
          <w:szCs w:val="28"/>
          <w:u w:val="single"/>
        </w:rPr>
        <w:t xml:space="preserve">Практическая часть</w:t>
      </w:r>
      <w:bookmarkEnd w:id="11"/>
      <w:r/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Вторая глава работы (практическая) также имеет свое название, делится на параграфы и включает следующие разделы: «процедура и методы исследования», «результаты исследования», «анализ результатов».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практической части приводятся результаты собственно эмпирического исследования, их анализ, который позволяет решить поставленные задачи, проверить гипотезу, достигнуть намеченной цели.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первом параграфе </w:t>
      </w:r>
      <w:r>
        <w:rPr>
          <w:sz w:val="28"/>
          <w:szCs w:val="28"/>
        </w:rPr>
        <w:t xml:space="preserve">«Процедура и методы исследования»/«Программа эмпирического исследования» приводится описание этапов и методик исследования, дается характеристика выборки исследования (количество человек, состав по полу, возрасту, стажу и т. д.), указывается место и время </w:t>
      </w:r>
      <w:r>
        <w:rPr>
          <w:sz w:val="28"/>
          <w:szCs w:val="28"/>
        </w:rPr>
        <w:t xml:space="preserve">проведения исследования.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Неверно выбранные методы исследования, использование нестандартизированных, неапробированных методик препятствует получению объективных надежных данных.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Отдельный параграф «Результаты исследования...» посвящают представлению и описанию данных. Основными формами представления данных являются: текст, таблицы, рисунки (графики, диаграммы).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Таблицы, с первичными, «сырыми» данными, характеризующими отдельных испытуемых, размещают в приложениях. В тексте основной работы помещают лишь таблицы, содержащие обобщенные, прошедшие хотя бы первичный анализ данные.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исследования могут быть представлены и в графической (иллюстрации) и символической (формулы, знаки) форме, чтобы облегчить понимание полученных и представленных данных.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Третий па</w:t>
      </w:r>
      <w:r>
        <w:rPr>
          <w:sz w:val="28"/>
          <w:szCs w:val="28"/>
        </w:rPr>
        <w:t xml:space="preserve">раграф посвящают обсуждению результатов исследования, их интерпретации. Это - самая ответственная часть работы. В ней должны присутствовать попытки объяснения полученных результатов и сопоставление с известными, содержащимися в научной литературе данными.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Вторая (практическая) глава завершается обобщениями и выводами по</w:t>
      </w:r>
      <w:r>
        <w:rPr>
          <w:sz w:val="28"/>
          <w:szCs w:val="28"/>
        </w:rPr>
        <w:t xml:space="preserve"> результатам эмпирического исследования. Пронумерованные выводы должны быть краткими, доказательными, убедительными. Объяснения приводимых итогов работы в этой части работы излишни, не допускаются и ссылки на литературные источники, работы других авторов. </w:t>
      </w:r>
      <w:r/>
    </w:p>
    <w:p>
      <w:pPr>
        <w:ind w:firstLine="720"/>
        <w:jc w:val="both"/>
      </w:pPr>
      <w:r/>
      <w:r/>
    </w:p>
    <w:p>
      <w:pPr>
        <w:pStyle w:val="742"/>
        <w:numPr>
          <w:ilvl w:val="2"/>
          <w:numId w:val="28"/>
        </w:numPr>
        <w:ind w:left="1077"/>
        <w:jc w:val="center"/>
        <w:rPr>
          <w:sz w:val="28"/>
          <w:szCs w:val="28"/>
          <w:u w:val="single"/>
        </w:rPr>
        <w:outlineLvl w:val="2"/>
      </w:pPr>
      <w:r/>
      <w:bookmarkStart w:id="12" w:name="_Toc156137929"/>
      <w:r>
        <w:rPr>
          <w:sz w:val="28"/>
          <w:szCs w:val="28"/>
          <w:u w:val="single"/>
        </w:rPr>
        <w:t xml:space="preserve">Особенности написания исследовательской работы и научного проекта в области психологии</w:t>
      </w:r>
      <w:bookmarkEnd w:id="12"/>
      <w:r/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к написанию исследовательской работы и научного проекта имеют различия только в практической части, введение и теоретическая часть выполняются аналогично. 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Психологическое исследование обязательно должно предвар</w:t>
      </w:r>
      <w:r>
        <w:rPr>
          <w:sz w:val="28"/>
          <w:szCs w:val="28"/>
        </w:rPr>
        <w:t xml:space="preserve">яться программой (актуальность, понятийный аппарат, обоснование выбранных методов, описание процедуры). Тексты методик, сырые матрицы данных, описательные статистики, частотный анализ, сравнительные таблицы и корреляционные матрицы помещаются в приложение.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Научно-психологический проект также пишется в соответствии с предъявляемыми к нему требованиями, он должен быть обоснован (т.е. иметь реальный, а не утопический характер).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Особенности написания и отличия исследовательской работы от научного проекта представлены в табл. 4.</w:t>
      </w:r>
      <w:r/>
    </w:p>
    <w:p>
      <w:pPr>
        <w:ind w:firstLine="720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4.</w:t>
      </w:r>
      <w:r/>
    </w:p>
    <w:p>
      <w:pPr>
        <w:ind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Особенности написания исследовательской работы и научного проекта в области психологии</w:t>
      </w:r>
      <w:r/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1E0" w:firstRow="1" w:lastRow="1" w:firstColumn="1" w:lastColumn="1" w:noHBand="0" w:noVBand="0"/>
      </w:tblPr>
      <w:tblGrid>
        <w:gridCol w:w="2725"/>
        <w:gridCol w:w="3143"/>
        <w:gridCol w:w="3703"/>
      </w:tblGrid>
      <w:tr>
        <w:trPr>
          <w:trHeight w:val="279"/>
        </w:trPr>
        <w:tc>
          <w:tcPr>
            <w:tcW w:w="2725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Практическая часть</w:t>
            </w:r>
            <w:r/>
          </w:p>
        </w:tc>
        <w:tc>
          <w:tcPr>
            <w:tcW w:w="3143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Исследовательская работа</w:t>
            </w:r>
            <w:r/>
          </w:p>
        </w:tc>
        <w:tc>
          <w:tcPr>
            <w:tcW w:w="3703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Научный проект</w:t>
            </w:r>
            <w:r/>
          </w:p>
        </w:tc>
      </w:tr>
      <w:tr>
        <w:trPr/>
        <w:tc>
          <w:tcPr>
            <w:tcW w:w="2725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tcW w:w="3143" w:type="dxa"/>
            <w:textDirection w:val="lrTb"/>
            <w:noWrap w:val="false"/>
          </w:tcPr>
          <w:p>
            <w:r>
              <w:t xml:space="preserve">Проводится глубокий статистический анализ </w:t>
            </w:r>
            <w:r>
              <w:t xml:space="preserve">эмпирических данных с дальнейшей интерпретацией результатов.</w:t>
            </w:r>
            <w:r/>
          </w:p>
        </w:tc>
        <w:tc>
          <w:tcPr>
            <w:tcW w:w="3703" w:type="dxa"/>
            <w:textDirection w:val="lrTb"/>
            <w:noWrap w:val="false"/>
          </w:tcPr>
          <w:p>
            <w:r>
              <w:rPr>
                <w:color w:val="000000"/>
              </w:rPr>
              <w:t xml:space="preserve">Практическая часть должна содержать психологическую диагностику </w:t>
            </w:r>
            <w:r>
              <w:rPr>
                <w:color w:val="000000"/>
              </w:rPr>
              <w:t xml:space="preserve">проблемы. О</w:t>
            </w:r>
            <w:r>
              <w:t xml:space="preserve">существляется исследование проблемы с обязательной выработкой глубоких научно-практических  рекомендаций.</w:t>
            </w:r>
            <w:r/>
          </w:p>
        </w:tc>
      </w:tr>
      <w:tr>
        <w:trPr/>
        <w:tc>
          <w:tcPr>
            <w:tcW w:w="2725" w:type="dxa"/>
            <w:textDirection w:val="lrTb"/>
            <w:noWrap w:val="false"/>
          </w:tcPr>
          <w:p>
            <w:pPr>
              <w:spacing w:line="360" w:lineRule="auto"/>
            </w:pPr>
            <w:r>
              <w:t xml:space="preserve">Процедура и методы исследования</w:t>
            </w:r>
            <w:r/>
          </w:p>
        </w:tc>
        <w:tc>
          <w:tcPr>
            <w:tcW w:w="3143" w:type="dxa"/>
            <w:textDirection w:val="lrTb"/>
            <w:noWrap w:val="false"/>
          </w:tcPr>
          <w:p>
            <w:r>
              <w:t xml:space="preserve">Особое внимание уделяется обоснованию выбора и описанию методов и методик эмпирического исследования с точки зрения их значения, соответствия возрасту респондентов, удобства применения.</w:t>
            </w:r>
            <w:r/>
          </w:p>
        </w:tc>
        <w:tc>
          <w:tcPr>
            <w:tcW w:w="3703" w:type="dxa"/>
            <w:textDirection w:val="lrTb"/>
            <w:noWrap w:val="false"/>
          </w:tcPr>
          <w:p>
            <w:r>
              <w:t xml:space="preserve">Здесь обосновывается важность психологической диагностики означенной проблемы в проекте и описываются диагностические методы, изучаемой проблемы.</w:t>
            </w:r>
            <w:r/>
          </w:p>
        </w:tc>
      </w:tr>
      <w:tr>
        <w:trPr>
          <w:cantSplit/>
          <w:trHeight w:val="793"/>
        </w:trPr>
        <w:tc>
          <w:tcPr>
            <w:tcW w:w="2725" w:type="dxa"/>
            <w:vMerge w:val="restart"/>
            <w:textDirection w:val="lrTb"/>
            <w:noWrap w:val="false"/>
          </w:tcPr>
          <w:p>
            <w:pPr>
              <w:spacing w:line="360" w:lineRule="auto"/>
            </w:pPr>
            <w:r>
              <w:t xml:space="preserve">Методы исследования</w:t>
            </w:r>
            <w:r/>
          </w:p>
        </w:tc>
        <w:tc>
          <w:tcPr>
            <w:gridSpan w:val="2"/>
            <w:tcW w:w="6846" w:type="dxa"/>
            <w:textDirection w:val="lrTb"/>
            <w:noWrap w:val="false"/>
          </w:tcPr>
          <w:p>
            <w:pPr>
              <w:jc w:val="center"/>
            </w:pPr>
            <w:r>
              <w:t xml:space="preserve">Методы сбора данных: </w:t>
            </w:r>
            <w:r/>
          </w:p>
          <w:p>
            <w:pPr>
              <w:jc w:val="center"/>
              <w:rPr>
                <w:sz w:val="28"/>
                <w:szCs w:val="28"/>
              </w:rPr>
            </w:pPr>
            <w:r>
              <w:t xml:space="preserve">психодиагностический инструментарий, имеющийся в распоряжении психологии и социальной психологии (наблюдение, опросные методы, эксперимент, анализ документов).</w:t>
            </w:r>
            <w:r/>
          </w:p>
        </w:tc>
      </w:tr>
      <w:tr>
        <w:trPr>
          <w:cantSplit/>
          <w:trHeight w:val="2101"/>
        </w:trPr>
        <w:tc>
          <w:tcPr>
            <w:tcW w:w="2725" w:type="dxa"/>
            <w:vMerge w:val="continue"/>
            <w:textDirection w:val="lrTb"/>
            <w:noWrap w:val="false"/>
          </w:tcPr>
          <w:p>
            <w:pPr>
              <w:spacing w:line="360" w:lineRule="auto"/>
            </w:pPr>
            <w:r/>
            <w:r/>
          </w:p>
        </w:tc>
        <w:tc>
          <w:tcPr>
            <w:tcW w:w="3143" w:type="dxa"/>
            <w:textDirection w:val="lrTb"/>
            <w:noWrap w:val="false"/>
          </w:tcPr>
          <w:p>
            <w:r>
              <w:t xml:space="preserve">Методы обработки данных: </w:t>
            </w:r>
            <w:r/>
          </w:p>
          <w:p>
            <w:r>
              <w:t xml:space="preserve">Кроме описательной статистики и частотного анализа, возможен сравнительный анализ, факторный, кластерный, корреляционный анализы др. методы, имеющиеся в распоряжении психологической науки.</w:t>
            </w:r>
            <w:r/>
          </w:p>
        </w:tc>
        <w:tc>
          <w:tcPr>
            <w:tcW w:w="3703" w:type="dxa"/>
            <w:textDirection w:val="lrTb"/>
            <w:noWrap w:val="false"/>
          </w:tcPr>
          <w:p>
            <w:r>
              <w:rPr>
                <w:sz w:val="28"/>
                <w:szCs w:val="28"/>
              </w:rPr>
              <w:t xml:space="preserve"> </w:t>
            </w:r>
            <w:r>
              <w:t xml:space="preserve">Методы обработки данных: </w:t>
            </w:r>
            <w:r/>
          </w:p>
          <w:p>
            <w:pPr>
              <w:rPr>
                <w:color w:val="000000"/>
                <w:sz w:val="28"/>
                <w:szCs w:val="28"/>
              </w:rPr>
            </w:pPr>
            <w:r>
              <w:t xml:space="preserve">описательная статистика,  частотный анализ, анализ документов (нормативно-правовых актов, документации организации), экспертной оценки/интервью.</w:t>
            </w:r>
            <w:r>
              <w:rPr>
                <w:sz w:val="28"/>
                <w:szCs w:val="28"/>
              </w:rPr>
              <w:t xml:space="preserve"> </w:t>
            </w:r>
            <w:r/>
          </w:p>
        </w:tc>
      </w:tr>
      <w:tr>
        <w:trPr/>
        <w:tc>
          <w:tcPr>
            <w:tcW w:w="2725" w:type="dxa"/>
            <w:textDirection w:val="lrTb"/>
            <w:noWrap w:val="false"/>
          </w:tcPr>
          <w:p>
            <w:r>
              <w:t xml:space="preserve">Результаты исследования</w:t>
            </w:r>
            <w:r/>
          </w:p>
        </w:tc>
        <w:tc>
          <w:tcPr>
            <w:tcW w:w="3143" w:type="dxa"/>
            <w:textDirection w:val="lrTb"/>
            <w:noWrap w:val="false"/>
          </w:tcPr>
          <w:p>
            <w:r>
              <w:t xml:space="preserve">Описание результатов по задачам с представлением результатов в виде графиков, гистограмм, таблиц. </w:t>
            </w:r>
            <w:r/>
          </w:p>
        </w:tc>
        <w:tc>
          <w:tcPr>
            <w:tcW w:w="3703" w:type="dxa"/>
            <w:textDirection w:val="lrTb"/>
            <w:noWrap w:val="false"/>
          </w:tcPr>
          <w:p>
            <w:r>
              <w:t xml:space="preserve">Описание результатов с выработкой научной концепции или психологической модели. </w:t>
            </w:r>
            <w:r/>
          </w:p>
        </w:tc>
      </w:tr>
      <w:tr>
        <w:trPr/>
        <w:tc>
          <w:tcPr>
            <w:tcW w:w="2725" w:type="dxa"/>
            <w:textDirection w:val="lrTb"/>
            <w:noWrap w:val="false"/>
          </w:tcPr>
          <w:p>
            <w:r>
              <w:t xml:space="preserve">Анализ результатов</w:t>
            </w:r>
            <w:r/>
          </w:p>
        </w:tc>
        <w:tc>
          <w:tcPr>
            <w:tcW w:w="3143" w:type="dxa"/>
            <w:textDirection w:val="lrTb"/>
            <w:noWrap w:val="false"/>
          </w:tcPr>
          <w:p>
            <w:r>
              <w:t xml:space="preserve">Интерпретация результатов исследования</w:t>
            </w:r>
            <w:r/>
          </w:p>
        </w:tc>
        <w:tc>
          <w:tcPr>
            <w:tcW w:w="3703" w:type="dxa"/>
            <w:textDirection w:val="lrTb"/>
            <w:noWrap w:val="false"/>
          </w:tcPr>
          <w:p>
            <w:r>
              <w:t xml:space="preserve">Представление четких научных рекомендаций</w:t>
            </w:r>
            <w:r/>
          </w:p>
        </w:tc>
      </w:tr>
      <w:tr>
        <w:trPr/>
        <w:tc>
          <w:tcPr>
            <w:tcW w:w="2725" w:type="dxa"/>
            <w:textDirection w:val="lrTb"/>
            <w:noWrap w:val="false"/>
          </w:tcPr>
          <w:p>
            <w:r/>
            <w:r/>
          </w:p>
        </w:tc>
        <w:tc>
          <w:tcPr>
            <w:tcW w:w="3143" w:type="dxa"/>
            <w:textDirection w:val="lrTb"/>
            <w:noWrap w:val="false"/>
          </w:tcPr>
          <w:p>
            <w:r>
              <w:t xml:space="preserve">На основе анализа теоретических </w:t>
            </w:r>
            <w:r>
              <w:t xml:space="preserve">положений и эмпирических данных производится раскрытие существенных признаков объекта и предмета исследования, причин их существования, особенностей или закономерностей изменения. Описывается их внутренняя структура, существенные связи с другими объектами.</w:t>
            </w:r>
            <w:r/>
          </w:p>
        </w:tc>
        <w:tc>
          <w:tcPr>
            <w:tcW w:w="3703" w:type="dxa"/>
            <w:textDirection w:val="lrTb"/>
            <w:noWrap w:val="false"/>
          </w:tcPr>
          <w:p>
            <w:r>
              <w:t xml:space="preserve">На основе анализа теоретических положений и эмпирических данных форм</w:t>
            </w:r>
            <w:r>
              <w:t xml:space="preserve">улируются выводы, предложения и рекомендации по исследуемым проблемам, выдвигаемые автором в адрес диагностируемых групп, организаций. Рекомендации должны быть конкретными и иметь практическую и теоретическую ценность, а также обладать элементами новизны. </w:t>
            </w:r>
            <w:r/>
          </w:p>
          <w:p>
            <w:r>
              <w:t xml:space="preserve">Также в работе должна быть отражена региональная специфика проблемы и ее решения (на примере предприятий, учреждений, организаций Тверской области, Кашинского района, г. Твери).</w:t>
            </w:r>
            <w:r/>
          </w:p>
        </w:tc>
      </w:tr>
    </w:tbl>
    <w:p>
      <w:pPr>
        <w:ind w:firstLine="720"/>
        <w:jc w:val="both"/>
        <w:spacing w:line="360" w:lineRule="auto"/>
      </w:pPr>
      <w:r/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Текст выпускной квалификационной работы должен быть кратким, емким и грамотным, обладать внутренней логикой. Выводы должны быть аргументированными; рекомендации – обоснованными.</w:t>
      </w:r>
      <w:r/>
    </w:p>
    <w:p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  <w:r/>
    </w:p>
    <w:p>
      <w:pPr>
        <w:pStyle w:val="742"/>
        <w:numPr>
          <w:ilvl w:val="1"/>
          <w:numId w:val="28"/>
        </w:numPr>
        <w:ind w:left="1077"/>
        <w:jc w:val="center"/>
        <w:rPr>
          <w:sz w:val="28"/>
          <w:szCs w:val="28"/>
          <w:u w:val="single"/>
        </w:rPr>
        <w:outlineLvl w:val="1"/>
      </w:pPr>
      <w:r/>
      <w:bookmarkStart w:id="13" w:name="_Toc156137930"/>
      <w:r>
        <w:rPr>
          <w:sz w:val="28"/>
          <w:szCs w:val="28"/>
          <w:u w:val="single"/>
        </w:rPr>
        <w:t xml:space="preserve">Заключение</w:t>
      </w:r>
      <w:bookmarkEnd w:id="13"/>
      <w:r/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Заключение необходимо для общей характеристики и подведения итогов выполненной работы. В краткой форме отмечаются проблема исследования, цель работы, последовательно предпринятые действия от теоретических до эмпирических.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Обязательно обсуждается гипотеза исследования. Недостаточно просто </w:t>
      </w:r>
      <w:r>
        <w:rPr>
          <w:sz w:val="28"/>
          <w:szCs w:val="28"/>
        </w:rPr>
        <w:t xml:space="preserve">констатировать ее подтверждение или опровержение. Следует рассмотреть определенные ранее критерии для доказательства своего мнения. Можно отметить новые </w:t>
      </w:r>
      <w:r>
        <w:rPr>
          <w:sz w:val="28"/>
          <w:szCs w:val="28"/>
        </w:rPr>
        <w:t xml:space="preserve">вопросы, возникшие в ходе данного исследования, решение которых не только подтвердит полученные результаты, но и уточнит и разовьет их. В проекте указать на сферы применения полученных результатов, и, если возможно, отметить опыт их внедрения на практике.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следовательность представления выводов работы определяется общей логикой проведенной и представляемой работы, а также последовательностью постановки задач исследования. Каждая поставленная задача обязательно должна иметь заключение о результате ее решения.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42"/>
        <w:numPr>
          <w:ilvl w:val="1"/>
          <w:numId w:val="28"/>
        </w:numPr>
        <w:ind w:left="1077"/>
        <w:jc w:val="center"/>
        <w:rPr>
          <w:sz w:val="28"/>
          <w:szCs w:val="28"/>
          <w:u w:val="single"/>
        </w:rPr>
        <w:outlineLvl w:val="1"/>
      </w:pPr>
      <w:r/>
      <w:bookmarkStart w:id="14" w:name="_Toc156137931"/>
      <w:r>
        <w:rPr>
          <w:sz w:val="28"/>
          <w:szCs w:val="28"/>
          <w:u w:val="single"/>
        </w:rPr>
        <w:t xml:space="preserve">Список литературы</w:t>
      </w:r>
      <w:bookmarkEnd w:id="14"/>
      <w:r/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Список литературы дает представление о глубине и содержательности подходов к рассмотрению темы исследования. Данный список должен включать библиографическое описание действительно использованных при написании дипломной работы источников.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Следует по минимуму включать в этот список учебники, учебны</w:t>
      </w:r>
      <w:r>
        <w:rPr>
          <w:sz w:val="28"/>
          <w:szCs w:val="28"/>
        </w:rPr>
        <w:t xml:space="preserve">е пособия, справочную литературу (словари, энциклопедии), научно-популярные издания, газеты. Если в работе использовались материалы из Интернета, то необходимо ссылаться не только на автора, названия его статьи, но и на сайт, где размещена эта информация.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Список литературы выпускной квалификационной работы должен содержать не менее 30 источников (см. оформление списка литературы в приложении 3).</w:t>
      </w:r>
      <w:r/>
    </w:p>
    <w:p>
      <w:pPr>
        <w:ind w:firstLine="720"/>
        <w:jc w:val="both"/>
      </w:pPr>
      <w:r/>
      <w:r/>
    </w:p>
    <w:p>
      <w:pPr>
        <w:pStyle w:val="742"/>
        <w:numPr>
          <w:ilvl w:val="1"/>
          <w:numId w:val="28"/>
        </w:numPr>
        <w:ind w:left="1077"/>
        <w:jc w:val="center"/>
        <w:rPr>
          <w:sz w:val="28"/>
          <w:szCs w:val="28"/>
          <w:u w:val="single"/>
        </w:rPr>
        <w:outlineLvl w:val="1"/>
      </w:pPr>
      <w:r/>
      <w:bookmarkStart w:id="15" w:name="_Toc156137932"/>
      <w:r>
        <w:rPr>
          <w:sz w:val="28"/>
          <w:szCs w:val="28"/>
          <w:u w:val="single"/>
        </w:rPr>
        <w:t xml:space="preserve">Приложения</w:t>
      </w:r>
      <w:bookmarkEnd w:id="15"/>
      <w:r/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к выпускной квалификационной работе помещаются материалы дополнительного характера. Они облегчают понимание текста работы, подтверждают достоверность приводимых данных и формулируемых выводов.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Приложения м</w:t>
      </w:r>
      <w:r>
        <w:rPr>
          <w:sz w:val="28"/>
          <w:szCs w:val="28"/>
        </w:rPr>
        <w:t xml:space="preserve">огут содержать тексты как разработанных студентом, так и заимствованных, но нестандартизированных или малоизвестных опросников, использованных для сбора данных. Не следует помещать в приложения объемные текстовые материалы, пытаясь сократить объем работы. </w:t>
      </w:r>
      <w:r>
        <w:rPr>
          <w:b/>
          <w:sz w:val="28"/>
          <w:szCs w:val="28"/>
        </w:rPr>
        <w:t xml:space="preserve">Обязательно приводятся «сырые данные» диагностических обследований испытуемых</w:t>
      </w:r>
      <w:r>
        <w:rPr>
          <w:sz w:val="28"/>
          <w:szCs w:val="28"/>
        </w:rPr>
        <w:t xml:space="preserve">, сводные таблицы результатов исследования. Одно приложение может содержать как одну, так и несколько таблиц (протоколов, графиков и пр.).</w:t>
      </w:r>
      <w:r/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42"/>
        <w:numPr>
          <w:ilvl w:val="0"/>
          <w:numId w:val="28"/>
        </w:numPr>
        <w:ind w:left="714" w:hanging="357"/>
        <w:jc w:val="center"/>
        <w:rPr>
          <w:b/>
          <w:sz w:val="28"/>
          <w:szCs w:val="28"/>
        </w:rPr>
        <w:outlineLvl w:val="0"/>
      </w:pPr>
      <w:r/>
      <w:bookmarkStart w:id="16" w:name="_Toc156137933"/>
      <w:r>
        <w:rPr>
          <w:b/>
          <w:sz w:val="28"/>
          <w:szCs w:val="28"/>
        </w:rPr>
        <w:t xml:space="preserve">ОБЩИЕ ПРАВИЛА ОФОРМЛЕНИЯ ВЫПУСКНЫХ КВАЛИФИКАЦИОННЫХ РАБОТ</w:t>
      </w:r>
      <w:bookmarkEnd w:id="7"/>
      <w:r/>
      <w:bookmarkEnd w:id="16"/>
      <w:r/>
      <w:r/>
    </w:p>
    <w:p>
      <w:pPr>
        <w:rPr>
          <w:sz w:val="28"/>
          <w:szCs w:val="28"/>
        </w:rPr>
      </w:pPr>
      <w:r/>
      <w:bookmarkStart w:id="17" w:name="_Toc147701868"/>
      <w:r/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Правила оформления выпускной квалификационной работы аналогичны и соответствуют требованиям государственных стандартов по оформлению научно-исследовательских работ.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Текст работы выполняется на компьютере с использованием современного текстового редактора (Microsoft Word). Сама работа должна быть сброшюрована.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Текст размещается на одной ст</w:t>
      </w:r>
      <w:r>
        <w:rPr>
          <w:sz w:val="28"/>
          <w:szCs w:val="28"/>
        </w:rPr>
        <w:t xml:space="preserve">ороне листа формата А4, имеющем следующие границы полей: верхнее - 20 мм, нижнее - 20 мм, левое - 30 мм, правое - 10 мм. Шрифт – Times New Roman, размер шрифта – 14 пунктов. Выравнивание текста ведется «по ширине». Отступ абзаца должен быть равен 1,25 см.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страницы работы, за исключением титульного листа и листа с с</w:t>
      </w:r>
      <w:r>
        <w:rPr>
          <w:sz w:val="28"/>
          <w:szCs w:val="28"/>
        </w:rPr>
        <w:t xml:space="preserve">одержанием, а также приложений, должны содержать номер страницы. Нумерация страниц сквозная, выполняется арабскими цифрами. Порядковый номер страницы проставляется в центре нижнего поля без каких-либо дополнительных знаков (тире, точки, звездочки, круга).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Каждый новый структурный элемент работы: содержание, введение, главы, заключение, список литературы, приложения, должен начинаться с новой страницы. Точки в конце названий структурных элементов не ставятся.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Выполненная работа передается руководителю в сброшюрованном виде. </w:t>
      </w:r>
      <w:r/>
    </w:p>
    <w:p>
      <w:pPr>
        <w:pStyle w:val="916"/>
        <w:ind w:firstLine="709"/>
        <w:spacing w:line="240" w:lineRule="auto"/>
        <w:widowControl/>
        <w:tabs>
          <w:tab w:val="left" w:pos="180" w:leader="none"/>
        </w:tabs>
        <w:rPr>
          <w:rStyle w:val="919"/>
          <w:sz w:val="28"/>
          <w:szCs w:val="28"/>
        </w:rPr>
      </w:pPr>
      <w:r>
        <w:rPr>
          <w:rStyle w:val="919"/>
          <w:sz w:val="28"/>
          <w:szCs w:val="28"/>
        </w:rPr>
        <w:t xml:space="preserve">ВКР </w:t>
      </w:r>
      <w:r>
        <w:rPr>
          <w:sz w:val="28"/>
          <w:szCs w:val="28"/>
        </w:rPr>
        <w:t xml:space="preserve">брошюруется </w:t>
      </w:r>
      <w:r>
        <w:rPr>
          <w:rStyle w:val="919"/>
          <w:sz w:val="28"/>
          <w:szCs w:val="28"/>
        </w:rPr>
        <w:t xml:space="preserve">в следующем порядке:</w:t>
      </w:r>
      <w:r/>
    </w:p>
    <w:p>
      <w:pPr>
        <w:pStyle w:val="918"/>
        <w:numPr>
          <w:ilvl w:val="0"/>
          <w:numId w:val="13"/>
        </w:numPr>
        <w:ind w:firstLine="709"/>
        <w:widowControl/>
        <w:tabs>
          <w:tab w:val="left" w:pos="180" w:leader="none"/>
          <w:tab w:val="left" w:pos="1134" w:leader="none"/>
        </w:tabs>
        <w:rPr>
          <w:rStyle w:val="919"/>
          <w:sz w:val="28"/>
          <w:szCs w:val="28"/>
        </w:rPr>
      </w:pPr>
      <w:r>
        <w:rPr>
          <w:rStyle w:val="919"/>
          <w:sz w:val="28"/>
          <w:szCs w:val="28"/>
        </w:rPr>
        <w:t xml:space="preserve"> Титульный лист </w:t>
      </w:r>
      <w:r/>
    </w:p>
    <w:p>
      <w:pPr>
        <w:pStyle w:val="918"/>
        <w:numPr>
          <w:ilvl w:val="0"/>
          <w:numId w:val="13"/>
        </w:numPr>
        <w:ind w:firstLine="709"/>
        <w:widowControl/>
        <w:tabs>
          <w:tab w:val="left" w:pos="180" w:leader="none"/>
          <w:tab w:val="left" w:pos="1134" w:leader="none"/>
        </w:tabs>
        <w:rPr>
          <w:rStyle w:val="919"/>
          <w:sz w:val="28"/>
          <w:szCs w:val="28"/>
        </w:rPr>
      </w:pPr>
      <w:r>
        <w:rPr>
          <w:rStyle w:val="919"/>
          <w:sz w:val="28"/>
          <w:szCs w:val="28"/>
        </w:rPr>
        <w:t xml:space="preserve"> Содержание</w:t>
      </w:r>
      <w:r/>
    </w:p>
    <w:p>
      <w:pPr>
        <w:pStyle w:val="918"/>
        <w:numPr>
          <w:ilvl w:val="0"/>
          <w:numId w:val="13"/>
        </w:numPr>
        <w:ind w:firstLine="709"/>
        <w:widowControl/>
        <w:tabs>
          <w:tab w:val="left" w:pos="180" w:leader="none"/>
          <w:tab w:val="left" w:pos="1134" w:leader="none"/>
        </w:tabs>
        <w:rPr>
          <w:rStyle w:val="919"/>
          <w:sz w:val="28"/>
          <w:szCs w:val="28"/>
        </w:rPr>
      </w:pPr>
      <w:r>
        <w:rPr>
          <w:rStyle w:val="919"/>
          <w:sz w:val="28"/>
          <w:szCs w:val="28"/>
        </w:rPr>
        <w:t xml:space="preserve"> Глава 1, 2, …</w:t>
      </w:r>
      <w:r/>
    </w:p>
    <w:p>
      <w:pPr>
        <w:pStyle w:val="918"/>
        <w:numPr>
          <w:ilvl w:val="0"/>
          <w:numId w:val="13"/>
        </w:numPr>
        <w:ind w:firstLine="709"/>
        <w:widowControl/>
        <w:tabs>
          <w:tab w:val="left" w:pos="180" w:leader="none"/>
          <w:tab w:val="left" w:pos="1134" w:leader="none"/>
        </w:tabs>
        <w:rPr>
          <w:rStyle w:val="919"/>
          <w:sz w:val="28"/>
          <w:szCs w:val="28"/>
        </w:rPr>
      </w:pPr>
      <w:r>
        <w:rPr>
          <w:rStyle w:val="919"/>
          <w:sz w:val="28"/>
          <w:szCs w:val="28"/>
        </w:rPr>
        <w:t xml:space="preserve"> Заключение</w:t>
      </w:r>
      <w:r/>
    </w:p>
    <w:p>
      <w:pPr>
        <w:pStyle w:val="918"/>
        <w:numPr>
          <w:ilvl w:val="0"/>
          <w:numId w:val="13"/>
        </w:numPr>
        <w:ind w:firstLine="709"/>
        <w:widowControl/>
        <w:tabs>
          <w:tab w:val="left" w:pos="180" w:leader="none"/>
          <w:tab w:val="left" w:pos="1134" w:leader="none"/>
        </w:tabs>
        <w:rPr>
          <w:rStyle w:val="919"/>
          <w:sz w:val="28"/>
          <w:szCs w:val="28"/>
        </w:rPr>
      </w:pPr>
      <w:r>
        <w:rPr>
          <w:rStyle w:val="919"/>
          <w:sz w:val="28"/>
          <w:szCs w:val="28"/>
        </w:rPr>
        <w:t xml:space="preserve"> Список использованных источников (в алфавитном порядке)</w:t>
      </w:r>
      <w:r/>
    </w:p>
    <w:p>
      <w:pPr>
        <w:pStyle w:val="918"/>
        <w:numPr>
          <w:ilvl w:val="0"/>
          <w:numId w:val="13"/>
        </w:numPr>
        <w:ind w:firstLine="709"/>
        <w:widowControl/>
        <w:tabs>
          <w:tab w:val="left" w:pos="180" w:leader="none"/>
          <w:tab w:val="left" w:pos="1134" w:leader="none"/>
        </w:tabs>
        <w:rPr>
          <w:rStyle w:val="919"/>
          <w:sz w:val="28"/>
          <w:szCs w:val="28"/>
        </w:rPr>
      </w:pPr>
      <w:r>
        <w:rPr>
          <w:rStyle w:val="919"/>
          <w:sz w:val="28"/>
          <w:szCs w:val="28"/>
        </w:rPr>
        <w:t xml:space="preserve"> Приложения</w:t>
      </w:r>
      <w:r/>
    </w:p>
    <w:p>
      <w:pPr>
        <w:pStyle w:val="918"/>
        <w:widowControl/>
        <w:tabs>
          <w:tab w:val="left" w:pos="180" w:leader="none"/>
          <w:tab w:val="left" w:pos="494" w:leader="none"/>
        </w:tabs>
        <w:rPr>
          <w:rStyle w:val="919"/>
        </w:rPr>
      </w:pPr>
      <w:r/>
      <w:r/>
    </w:p>
    <w:p>
      <w:pPr>
        <w:pStyle w:val="916"/>
        <w:ind w:firstLine="709"/>
        <w:spacing w:line="240" w:lineRule="auto"/>
        <w:widowControl/>
        <w:tabs>
          <w:tab w:val="left" w:pos="180" w:leader="none"/>
        </w:tabs>
        <w:rPr>
          <w:rStyle w:val="919"/>
          <w:sz w:val="28"/>
          <w:szCs w:val="28"/>
        </w:rPr>
      </w:pPr>
      <w:r>
        <w:rPr>
          <w:rStyle w:val="919"/>
          <w:sz w:val="28"/>
          <w:szCs w:val="28"/>
        </w:rPr>
        <w:t xml:space="preserve">В ВКР </w:t>
      </w:r>
      <w:r>
        <w:rPr>
          <w:rStyle w:val="920"/>
          <w:i w:val="0"/>
          <w:sz w:val="28"/>
          <w:szCs w:val="28"/>
        </w:rPr>
        <w:t xml:space="preserve">вкладываются</w:t>
      </w:r>
      <w:r>
        <w:rPr>
          <w:rStyle w:val="920"/>
          <w:sz w:val="28"/>
          <w:szCs w:val="28"/>
        </w:rPr>
        <w:t xml:space="preserve"> </w:t>
      </w:r>
      <w:r>
        <w:rPr>
          <w:rStyle w:val="919"/>
          <w:sz w:val="28"/>
          <w:szCs w:val="28"/>
        </w:rPr>
        <w:t xml:space="preserve">следующие документы:</w:t>
      </w:r>
      <w:r/>
    </w:p>
    <w:p>
      <w:pPr>
        <w:pStyle w:val="917"/>
        <w:numPr>
          <w:ilvl w:val="0"/>
          <w:numId w:val="14"/>
        </w:numPr>
        <w:ind w:left="0" w:firstLine="709"/>
        <w:spacing w:line="240" w:lineRule="auto"/>
        <w:widowControl/>
        <w:tabs>
          <w:tab w:val="left" w:pos="180" w:leader="none"/>
          <w:tab w:val="left" w:pos="677" w:leader="none"/>
          <w:tab w:val="clear" w:pos="835" w:leader="none"/>
          <w:tab w:val="num" w:pos="1134" w:leader="none"/>
        </w:tabs>
        <w:rPr>
          <w:rStyle w:val="919"/>
          <w:sz w:val="28"/>
          <w:szCs w:val="28"/>
        </w:rPr>
      </w:pPr>
      <w:r>
        <w:rPr>
          <w:rStyle w:val="919"/>
          <w:sz w:val="28"/>
          <w:szCs w:val="28"/>
        </w:rPr>
        <w:t xml:space="preserve">Отзыв научного руководителя </w:t>
      </w:r>
      <w:r/>
    </w:p>
    <w:p>
      <w:pPr>
        <w:pStyle w:val="917"/>
        <w:numPr>
          <w:ilvl w:val="0"/>
          <w:numId w:val="14"/>
        </w:numPr>
        <w:ind w:left="0" w:firstLine="709"/>
        <w:spacing w:line="240" w:lineRule="auto"/>
        <w:widowControl/>
        <w:tabs>
          <w:tab w:val="left" w:pos="180" w:leader="none"/>
          <w:tab w:val="left" w:pos="677" w:leader="none"/>
          <w:tab w:val="clear" w:pos="835" w:leader="none"/>
          <w:tab w:val="num" w:pos="1134" w:leader="none"/>
        </w:tabs>
        <w:rPr>
          <w:rStyle w:val="919"/>
          <w:sz w:val="28"/>
          <w:szCs w:val="28"/>
        </w:rPr>
      </w:pPr>
      <w:r>
        <w:rPr>
          <w:rStyle w:val="919"/>
          <w:sz w:val="28"/>
          <w:szCs w:val="28"/>
        </w:rPr>
        <w:t xml:space="preserve">Диск с электронной версией работы (диск подписывается).</w:t>
      </w:r>
      <w:r/>
    </w:p>
    <w:p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Титульный лист обязательно подписывается студентом</w:t>
      </w:r>
      <w:r>
        <w:rPr>
          <w:sz w:val="28"/>
          <w:szCs w:val="28"/>
        </w:rPr>
        <w:t xml:space="preserve"> и научным руководителем.</w:t>
      </w:r>
      <w:r/>
    </w:p>
    <w:p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Требования к языку и стилю работы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Текст выпускной квалификационной работы должен быть написан научным стилем с соблюдением всех правил орфографии, синтаксиса, пунктуации. Для него должны быть присущи: логика, объективность, точность, ясность, и вместе с тем, краткость изложения.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научного стиля типично употребление безличных предложений, поэтому недопустимы </w:t>
      </w:r>
      <w:r>
        <w:rPr>
          <w:sz w:val="28"/>
          <w:szCs w:val="28"/>
        </w:rPr>
        <w:t xml:space="preserve">употребления местоимения «я». Допускается формулировка идей от первого лица множественного числа (например, «мы полагаем», «в нашем исследовании», «нами выявлено» и пр.). Этим подчеркивается совместный характер работы студента и его научного руководителя. </w:t>
      </w:r>
      <w:r/>
    </w:p>
    <w:p>
      <w:pPr>
        <w:ind w:firstLine="720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firstLine="720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shd w:val="nil" w:color="auto"/>
        <w:rPr>
          <w:caps/>
        </w:rPr>
        <w:outlineLvl w:val="0"/>
      </w:pPr>
      <w:r>
        <w:rPr>
          <w:caps/>
          <w:highlight w:val="none"/>
        </w:rPr>
        <w:br w:type="page" w:clear="all"/>
      </w:r>
      <w:r>
        <w:rPr>
          <w:caps/>
          <w:highlight w:val="none"/>
        </w:rPr>
      </w:r>
      <w:r/>
    </w:p>
    <w:p>
      <w:pPr>
        <w:pStyle w:val="742"/>
        <w:numPr>
          <w:ilvl w:val="0"/>
          <w:numId w:val="28"/>
        </w:numPr>
        <w:ind w:left="714" w:hanging="357"/>
        <w:jc w:val="center"/>
        <w:shd w:val="clear" w:color="auto" w:fill="ffffff"/>
        <w:rPr>
          <w:caps/>
        </w:rPr>
        <w:outlineLvl w:val="0"/>
      </w:pPr>
      <w:r/>
      <w:bookmarkStart w:id="18" w:name="_Toc156137934"/>
      <w:r>
        <w:rPr>
          <w:b/>
          <w:bCs/>
          <w:caps/>
          <w:sz w:val="28"/>
          <w:szCs w:val="28"/>
        </w:rPr>
        <w:t xml:space="preserve">Порядок и сроки прохождения предзащиты</w:t>
      </w:r>
      <w:bookmarkEnd w:id="18"/>
      <w:r>
        <w:rPr>
          <w:caps/>
        </w:rPr>
        <w:t xml:space="preserve"> </w:t>
      </w:r>
      <w:r/>
    </w:p>
    <w:p>
      <w:pPr>
        <w:ind w:firstLine="851"/>
        <w:jc w:val="both"/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Предзащита ВКР включается в график выполнения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 </w:t>
      </w:r>
      <w:r>
        <w:rPr>
          <w:color w:val="000000"/>
          <w:sz w:val="28"/>
          <w:szCs w:val="28"/>
          <w:shd w:val="clear" w:color="auto" w:fill="ffffff"/>
        </w:rPr>
        <w:t xml:space="preserve">ВКР и является составной частью выполнения учебного плана.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ВКР</w:t>
      </w:r>
      <w:r>
        <w:rPr>
          <w:sz w:val="28"/>
          <w:szCs w:val="28"/>
        </w:rPr>
        <w:t xml:space="preserve"> предоставляется научному руководителю по окончании производственной (преддипломной) практики.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/>
    </w:p>
    <w:p>
      <w:pPr>
        <w:ind w:firstLine="851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Руководитель ООП формирует комиссии по предварительной защите ВКР из числа</w:t>
      </w:r>
      <w:r>
        <w:rPr>
          <w:sz w:val="28"/>
          <w:szCs w:val="28"/>
        </w:rPr>
        <w:t xml:space="preserve"> ППС выпускающих кафедр и составляет график предварительных защит ВКР. Результаты предварительных защит ВКР оформляются протоколами заседания комиссий, содержат заключения о допуске работы к защите, о необходимости доработки или недопуске работы к защите. </w:t>
      </w:r>
      <w:r/>
    </w:p>
    <w:p>
      <w:pPr>
        <w:ind w:firstLine="851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На предзащиту необходимо предоставить </w:t>
      </w:r>
      <w:r>
        <w:rPr>
          <w:sz w:val="28"/>
          <w:szCs w:val="28"/>
        </w:rPr>
        <w:t xml:space="preserve">в распечатанном виде</w:t>
      </w:r>
      <w:r>
        <w:rPr>
          <w:sz w:val="28"/>
          <w:szCs w:val="28"/>
        </w:rPr>
        <w:t xml:space="preserve"> конечный вариант ВКР</w:t>
      </w:r>
      <w:r>
        <w:rPr>
          <w:sz w:val="28"/>
          <w:szCs w:val="28"/>
        </w:rPr>
        <w:t xml:space="preserve"> (работа не сшивается)</w:t>
      </w:r>
      <w:r>
        <w:rPr>
          <w:sz w:val="28"/>
          <w:szCs w:val="28"/>
        </w:rPr>
        <w:t xml:space="preserve">, наглядные материалы (презентацию) и отзыв научного руководителя. </w:t>
      </w:r>
      <w:r/>
    </w:p>
    <w:p>
      <w:pPr>
        <w:ind w:firstLine="851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Предзащита выпускной квалификационной работы осуществляется в следующем порядке: </w:t>
      </w:r>
      <w:r/>
    </w:p>
    <w:p>
      <w:pPr>
        <w:ind w:firstLine="851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– доклад студента (8–10 мин.); </w:t>
      </w:r>
      <w:r/>
    </w:p>
    <w:p>
      <w:pPr>
        <w:ind w:firstLine="851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– вопросы членов комиссии студенту; </w:t>
      </w:r>
      <w:r/>
    </w:p>
    <w:p>
      <w:pPr>
        <w:ind w:firstLine="851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– дискуссия; </w:t>
      </w:r>
      <w:r/>
    </w:p>
    <w:p>
      <w:pPr>
        <w:ind w:firstLine="851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– мнение научного руководителя по поводу возможности допуска работы к защите; </w:t>
      </w:r>
      <w:r/>
    </w:p>
    <w:p>
      <w:pPr>
        <w:ind w:firstLine="851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– заключительное слово студента. </w:t>
      </w:r>
      <w:r/>
    </w:p>
    <w:p>
      <w:pPr>
        <w:ind w:firstLine="851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По окончании выступления всех студентов, допущенных к защите, комиссия озвучивает решение о возможности допуска к защите. </w:t>
      </w:r>
      <w:r/>
    </w:p>
    <w:p>
      <w:pPr>
        <w:ind w:firstLine="851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В докладе студента на предзащите должны найти отражение: </w:t>
      </w:r>
      <w:r/>
    </w:p>
    <w:p>
      <w:pPr>
        <w:ind w:firstLine="851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– название темы выпускной квалификационной работы; </w:t>
      </w:r>
      <w:r/>
    </w:p>
    <w:p>
      <w:pPr>
        <w:ind w:firstLine="851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– ее актуальность; </w:t>
      </w:r>
      <w:r/>
    </w:p>
    <w:p>
      <w:pPr>
        <w:ind w:firstLine="851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– цель и основные задачи исследования; </w:t>
      </w:r>
      <w:r/>
    </w:p>
    <w:p>
      <w:pPr>
        <w:ind w:firstLine="851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– краткая характеристика предмета, объекта, методологии и степень научной разработанности темы исследования; </w:t>
      </w:r>
      <w:r/>
    </w:p>
    <w:p>
      <w:pPr>
        <w:ind w:firstLine="851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– краткое изложение сути работы, особенностей выполненного исследования и личного вклада автора; </w:t>
      </w:r>
      <w:r/>
    </w:p>
    <w:p>
      <w:pPr>
        <w:ind w:firstLine="851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– выявленная проблематика; </w:t>
      </w:r>
      <w:r/>
    </w:p>
    <w:p>
      <w:pPr>
        <w:ind w:firstLine="851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– выводы и предложения, выносимые на защиту. </w:t>
      </w:r>
      <w:r/>
    </w:p>
    <w:p>
      <w:pPr>
        <w:ind w:firstLine="851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После предзащиты разрешается внести небольшие исправления</w:t>
      </w:r>
      <w:r>
        <w:rPr>
          <w:sz w:val="28"/>
          <w:szCs w:val="28"/>
        </w:rPr>
        <w:t xml:space="preserve"> в работу</w:t>
      </w:r>
      <w:r>
        <w:rPr>
          <w:sz w:val="28"/>
          <w:szCs w:val="28"/>
        </w:rPr>
        <w:t xml:space="preserve">, но в целом дипломное исследование уже должно быть завершено. </w:t>
      </w:r>
      <w:r/>
    </w:p>
    <w:p>
      <w:pPr>
        <w:ind w:firstLine="851"/>
        <w:jc w:val="both"/>
        <w:shd w:val="clear" w:color="auto" w:fill="ffffff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Далее, н</w:t>
      </w:r>
      <w:r>
        <w:rPr>
          <w:sz w:val="28"/>
          <w:szCs w:val="28"/>
          <w:shd w:val="clear" w:color="auto" w:fill="ffffff"/>
        </w:rPr>
        <w:t xml:space="preserve">е позднее, чем за 14 дней до защиты текст ВКР в электронном виде передается для проверки на оригинальность и отсутствие некорректных заимствований. На основании результатов предзащиты</w:t>
      </w:r>
      <w:r>
        <w:rPr>
          <w:sz w:val="28"/>
          <w:szCs w:val="28"/>
          <w:shd w:val="clear" w:color="auto" w:fill="ffffff"/>
        </w:rPr>
        <w:t xml:space="preserve"> и</w:t>
      </w:r>
      <w:r>
        <w:rPr>
          <w:sz w:val="28"/>
          <w:szCs w:val="28"/>
          <w:shd w:val="clear" w:color="auto" w:fill="ffffff"/>
        </w:rPr>
        <w:t xml:space="preserve"> заключения об оригинальности работы комиссия по предварительной защите принимает решен</w:t>
      </w:r>
      <w:r>
        <w:rPr>
          <w:sz w:val="28"/>
          <w:szCs w:val="28"/>
          <w:shd w:val="clear" w:color="auto" w:fill="ffffff"/>
        </w:rPr>
        <w:t xml:space="preserve">ие о допуске или не допуске ВКР к защите. В случае допуска руководитель основной образовательной программы ставит свою визу на титульном листе ВКР. Работа, не прошедшая предзащиту, к защите не допускается. Рецензирование ВКР бакалавра не предусматривается.</w:t>
      </w:r>
      <w:r/>
    </w:p>
    <w:p>
      <w:pPr>
        <w:pStyle w:val="742"/>
        <w:numPr>
          <w:ilvl w:val="0"/>
          <w:numId w:val="28"/>
        </w:numPr>
        <w:ind w:left="714" w:hanging="357"/>
        <w:jc w:val="center"/>
        <w:spacing w:line="360" w:lineRule="auto"/>
        <w:rPr>
          <w:b/>
          <w:sz w:val="28"/>
          <w:szCs w:val="28"/>
        </w:rPr>
        <w:outlineLvl w:val="0"/>
      </w:pPr>
      <w:r/>
      <w:bookmarkStart w:id="19" w:name="_Toc156137935"/>
      <w:r>
        <w:rPr>
          <w:b/>
          <w:sz w:val="28"/>
          <w:szCs w:val="28"/>
        </w:rPr>
        <w:t xml:space="preserve">П</w:t>
      </w:r>
      <w:r>
        <w:rPr>
          <w:b/>
          <w:sz w:val="28"/>
          <w:szCs w:val="28"/>
        </w:rPr>
        <w:t xml:space="preserve">ОРЯДОК ЗАЩИТЫ ВЫПУСКНЫХ КВАЛИФИКАЦИОННЫХ РАБОТ</w:t>
      </w:r>
      <w:bookmarkEnd w:id="17"/>
      <w:r/>
      <w:bookmarkEnd w:id="19"/>
      <w:r/>
      <w:r/>
    </w:p>
    <w:p>
      <w:pPr>
        <w:ind w:firstLine="720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Поря</w:t>
      </w:r>
      <w:r>
        <w:rPr>
          <w:sz w:val="28"/>
          <w:szCs w:val="28"/>
        </w:rPr>
        <w:t xml:space="preserve">док защиты выпускных квалификационных работ определяется «Положением о проведении государственной итоговой аттестации студентов Тверского государственного университета». </w:t>
      </w:r>
      <w:r/>
    </w:p>
    <w:p>
      <w:pPr>
        <w:ind w:firstLine="720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Защита выпускных квалификационных работ проходит на русском языке, публично на открытом заседании ГЭК. Защита должна носить характер научной дискуссии. На защите могут присутствовать научные руководители, преподаватели и студенты. </w:t>
      </w:r>
      <w:r/>
    </w:p>
    <w:p>
      <w:pPr>
        <w:ind w:firstLine="720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Засед</w:t>
      </w:r>
      <w:r>
        <w:rPr>
          <w:sz w:val="28"/>
          <w:szCs w:val="28"/>
        </w:rPr>
        <w:t xml:space="preserve">ание ГЭК начинается с объявления списка студентов, защищающих выпускные квалификационные работы на данном заседании. Председатель комиссии оглашает регламент работы заседания, затем в порядке очередности приглашает на защиту студентов, каждый раз объявляя </w:t>
      </w:r>
      <w:r>
        <w:rPr>
          <w:sz w:val="28"/>
          <w:szCs w:val="28"/>
        </w:rPr>
        <w:t xml:space="preserve">фамилию, имя и отчество выпускника, тему выпускной квалификационной работы, фамилию и должность научного руководителя. </w:t>
      </w:r>
      <w:r/>
    </w:p>
    <w:p>
      <w:pPr>
        <w:ind w:firstLine="720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Для доклада студенту предоставляется 8–10 минут. Из доклада сту</w:t>
      </w:r>
      <w:r>
        <w:rPr>
          <w:sz w:val="28"/>
          <w:szCs w:val="28"/>
        </w:rPr>
        <w:t xml:space="preserve">дента должно быть ясно, в чем состоит личное участие студента в получении защищаемых результатов. Доклад должен сопровождаться компьютерной презентацией и демонстрацией иллюстративных материалов. После доклада студента ему задаются вопросы по теме работы. </w:t>
      </w:r>
      <w:r/>
    </w:p>
    <w:p>
      <w:pPr>
        <w:ind w:firstLine="720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После ответа студента на вопросы слово предоставляется научному руководителю или, в случае </w:t>
      </w:r>
      <w:r>
        <w:rPr>
          <w:sz w:val="28"/>
          <w:szCs w:val="28"/>
        </w:rPr>
        <w:t xml:space="preserve">его отсутствия, зачитывается его отзыв одним из членов ГЭК. Далее председатель выясняет у членов ГЭК, удовлетворены ли они ответом студента, и просит присутствующих выступить по существу выпускной квалификационной работы. Общее время защиты – 20-30 минут. </w:t>
      </w:r>
      <w:r/>
    </w:p>
    <w:p>
      <w:pPr>
        <w:ind w:firstLine="720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Секретарь ГЭК во время заседания ведет п</w:t>
      </w:r>
      <w:r>
        <w:rPr>
          <w:sz w:val="28"/>
          <w:szCs w:val="28"/>
        </w:rPr>
        <w:t xml:space="preserve">ротокол, куда записывается время начала и окончания защиты квалификационной работы. Решение Государственной экзаменационной комиссии об оценке, присвоении квалификации и выдаче диплома принимается на закрытом заседании ГЭК по завершении защиты всех работ. </w:t>
      </w:r>
      <w:r/>
    </w:p>
    <w:p>
      <w:pPr>
        <w:ind w:firstLine="720"/>
        <w:jc w:val="both"/>
        <w:shd w:val="clear" w:color="auto" w:fill="ffffff"/>
        <w:rPr>
          <w:color w:val="000000"/>
          <w:sz w:val="40"/>
          <w:szCs w:val="40"/>
        </w:rPr>
      </w:pPr>
      <w:r>
        <w:rPr>
          <w:sz w:val="28"/>
          <w:szCs w:val="28"/>
        </w:rPr>
        <w:t xml:space="preserve">По завершении работы секретарь ГЭК проставляет оценки в книге протоколов и зачетных книжках, а также делает запись в зачетных книжках о присвоении выпускнику соответствующей квалификации (степени) и выдаче диплома (с отличием или без отличия). Все члены ГЭ</w:t>
      </w:r>
      <w:r>
        <w:rPr>
          <w:sz w:val="28"/>
          <w:szCs w:val="28"/>
        </w:rPr>
        <w:t xml:space="preserve">К ставят свои подписи в книге протоколов и в зачетных книжках. По окончании оформления всей необходимой документации Председатель ГЭК объявляет оценки и решение комиссии о присвоении квалификации (степени) выпускникам, а также о выдаче дипломов с отличием.</w:t>
      </w:r>
      <w:r/>
    </w:p>
    <w:p>
      <w:pPr>
        <w:ind w:firstLine="720"/>
        <w:jc w:val="both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Необ</w:t>
      </w:r>
      <w:r>
        <w:rPr>
          <w:color w:val="000000"/>
          <w:sz w:val="28"/>
          <w:szCs w:val="28"/>
        </w:rPr>
        <w:t xml:space="preserve">ходимо помнить, что какой бы великолепной и качественной ни была квалификационная работа, без квалифицированного и успешного ее представления невозможно получить высокую оценку. Оценка в значительной мере зависит и от того, как работа будет представлена и </w:t>
      </w:r>
      <w:r>
        <w:rPr>
          <w:color w:val="000000"/>
          <w:sz w:val="28"/>
          <w:szCs w:val="28"/>
        </w:rPr>
        <w:t xml:space="preserve">защищена.</w:t>
      </w:r>
      <w:r/>
    </w:p>
    <w:p>
      <w:pPr>
        <w:ind w:firstLine="709"/>
        <w:jc w:val="both"/>
        <w:spacing w:before="10"/>
        <w:shd w:val="clear" w:color="auto" w:fill="ffffff"/>
        <w:tabs>
          <w:tab w:val="left" w:pos="350" w:leader="none"/>
        </w:tabs>
        <w:rPr>
          <w:sz w:val="28"/>
          <w:szCs w:val="18"/>
          <w:u w:val="single"/>
        </w:rPr>
      </w:pPr>
      <w:r>
        <w:rPr>
          <w:color w:val="000000"/>
          <w:sz w:val="28"/>
          <w:szCs w:val="28"/>
          <w:u w:val="single"/>
        </w:rPr>
        <w:t xml:space="preserve">Требования к электронной презентации для сопровождения публичного выступления на защите</w:t>
      </w:r>
      <w:r/>
    </w:p>
    <w:p>
      <w:pPr>
        <w:pStyle w:val="908"/>
        <w:ind w:firstLine="720"/>
        <w:jc w:val="both"/>
        <w:spacing w:after="0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Презентация должна быть подготовлена с помощью программы </w:t>
      </w:r>
      <w:r>
        <w:rPr>
          <w:color w:val="000000"/>
          <w:sz w:val="28"/>
          <w:szCs w:val="28"/>
        </w:rPr>
        <w:t xml:space="preserve">MS</w:t>
      </w:r>
      <w:r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</w:rPr>
        <w:t xml:space="preserve">PowerPoint</w:t>
      </w:r>
      <w:r>
        <w:rPr>
          <w:color w:val="000000"/>
          <w:sz w:val="28"/>
          <w:szCs w:val="28"/>
          <w:lang w:val="ru-RU"/>
        </w:rPr>
        <w:t xml:space="preserve">. Для того чтобы такая презентация действительно делала выступление более эффективным, необходимо соблюдение определенных требований: </w:t>
      </w:r>
      <w:r/>
    </w:p>
    <w:p>
      <w:pPr>
        <w:pStyle w:val="908"/>
        <w:ind w:firstLine="720"/>
        <w:jc w:val="both"/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 Презентация должна быть ориентирована на слушателей, а не на докладчика. Поэтому презентация должна сопровождаться устной речью, дополняющей и объясняющей слайды, а не пересказывающей и зачитывающей информацию на них. Не повторяйте то, что написано на э</w:t>
      </w:r>
      <w:r>
        <w:rPr>
          <w:sz w:val="28"/>
          <w:szCs w:val="28"/>
          <w:lang w:val="ru-RU"/>
        </w:rPr>
        <w:t xml:space="preserve">кране. Текст презентации не должен служить конспектом для докладчика. В презентациях, иллюстрирующих публичное выступление, текст должен быть свернут до ключевых слов и фраз. Полные развернутые предложения на слайдах таких презентаций используются только п</w:t>
      </w:r>
      <w:r>
        <w:rPr>
          <w:sz w:val="28"/>
          <w:szCs w:val="28"/>
          <w:lang w:val="ru-RU"/>
        </w:rPr>
        <w:t xml:space="preserve">ри необходимости цитирования.</w:t>
      </w:r>
      <w:r/>
    </w:p>
    <w:p>
      <w:pPr>
        <w:pStyle w:val="908"/>
        <w:ind w:firstLine="720"/>
        <w:jc w:val="both"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На экран желательно выносить:</w:t>
      </w:r>
      <w:r/>
    </w:p>
    <w:p>
      <w:pPr>
        <w:pStyle w:val="908"/>
        <w:numPr>
          <w:ilvl w:val="0"/>
          <w:numId w:val="9"/>
        </w:numPr>
        <w:ind w:left="0" w:firstLine="720"/>
        <w:jc w:val="both"/>
        <w:spacing w:after="0"/>
        <w:widowControl/>
        <w:tabs>
          <w:tab w:val="num" w:pos="0" w:leader="none"/>
          <w:tab w:val="clear" w:pos="1260" w:leader="none"/>
        </w:tabs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тему выпускной квалификационной работы и полное имя и фамилию докладчика;</w:t>
      </w:r>
      <w:r/>
    </w:p>
    <w:p>
      <w:pPr>
        <w:pStyle w:val="908"/>
        <w:numPr>
          <w:ilvl w:val="0"/>
          <w:numId w:val="9"/>
        </w:numPr>
        <w:ind w:left="0" w:firstLine="720"/>
        <w:jc w:val="both"/>
        <w:spacing w:after="0"/>
        <w:widowControl/>
        <w:tabs>
          <w:tab w:val="num" w:pos="0" w:leader="none"/>
          <w:tab w:val="clear" w:pos="1260" w:leader="none"/>
        </w:tabs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рекомендуется краткое название работы поместить на все слайды в виде колонтитула (Вид — Колонтитул — Применить ко всем);</w:t>
      </w:r>
      <w:r/>
    </w:p>
    <w:p>
      <w:pPr>
        <w:pStyle w:val="908"/>
        <w:numPr>
          <w:ilvl w:val="0"/>
          <w:numId w:val="9"/>
        </w:numPr>
        <w:ind w:left="0" w:firstLine="720"/>
        <w:jc w:val="both"/>
        <w:spacing w:after="0"/>
        <w:widowControl/>
        <w:tabs>
          <w:tab w:val="num" w:pos="0" w:leader="none"/>
          <w:tab w:val="clear" w:pos="1260" w:leader="none"/>
        </w:tabs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каждый слайд должен иметь заголовок;</w:t>
      </w:r>
      <w:r/>
    </w:p>
    <w:p>
      <w:pPr>
        <w:pStyle w:val="908"/>
        <w:numPr>
          <w:ilvl w:val="0"/>
          <w:numId w:val="9"/>
        </w:numPr>
        <w:ind w:left="0" w:firstLine="720"/>
        <w:jc w:val="both"/>
        <w:spacing w:after="0"/>
        <w:widowControl/>
        <w:tabs>
          <w:tab w:val="num" w:pos="0" w:leader="none"/>
          <w:tab w:val="clear" w:pos="1260" w:leader="none"/>
        </w:tabs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формулировка цели, решаемых задач, объекта, предмета исследования, основных результатов, наиболее важных моментов в исследовании, может быть  также представлен иллюстративный материал, основные выводы и результаты исследования (тезисно);</w:t>
      </w:r>
      <w:r/>
    </w:p>
    <w:p>
      <w:pPr>
        <w:pStyle w:val="908"/>
        <w:numPr>
          <w:ilvl w:val="0"/>
          <w:numId w:val="9"/>
        </w:numPr>
        <w:ind w:left="0" w:firstLine="720"/>
        <w:jc w:val="both"/>
        <w:spacing w:after="0"/>
        <w:widowControl/>
        <w:tabs>
          <w:tab w:val="num" w:pos="0" w:leader="none"/>
          <w:tab w:val="clear" w:pos="1260" w:leader="none"/>
        </w:tabs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хорошо воспринимаются фотографии, краткие видеоролики, но только в том случае, если они уточняют и дополняют, а не отвлекают от информации;</w:t>
      </w:r>
      <w:r/>
    </w:p>
    <w:p>
      <w:pPr>
        <w:pStyle w:val="908"/>
        <w:numPr>
          <w:ilvl w:val="0"/>
          <w:numId w:val="9"/>
        </w:numPr>
        <w:ind w:left="0" w:firstLine="720"/>
        <w:jc w:val="both"/>
        <w:spacing w:after="0"/>
        <w:widowControl/>
        <w:tabs>
          <w:tab w:val="num" w:pos="0" w:leader="none"/>
          <w:tab w:val="clear" w:pos="1260" w:leader="none"/>
        </w:tabs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итоговом слайде должно найтись место для благодарности руководителю и всем тем, кто дал ценные консультации и рекомендации.</w:t>
      </w:r>
      <w:r/>
    </w:p>
    <w:p>
      <w:pPr>
        <w:pStyle w:val="908"/>
        <w:ind w:firstLine="720"/>
        <w:jc w:val="both"/>
        <w:spacing w:after="0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3. Представление информации. </w:t>
      </w:r>
      <w:r/>
    </w:p>
    <w:p>
      <w:pPr>
        <w:pStyle w:val="908"/>
        <w:ind w:firstLine="720"/>
        <w:jc w:val="both"/>
        <w:spacing w:after="0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Количество слайдов для доклада в 10 минут не должно превышать 12</w:t>
      </w:r>
      <w:r>
        <w:rPr>
          <w:color w:val="000000"/>
          <w:sz w:val="28"/>
          <w:szCs w:val="28"/>
          <w:lang w:val="ru-RU"/>
        </w:rPr>
        <w:t xml:space="preserve">-13 шт.</w:t>
      </w:r>
      <w:r/>
    </w:p>
    <w:p>
      <w:pPr>
        <w:pStyle w:val="908"/>
        <w:ind w:firstLine="720"/>
        <w:jc w:val="both"/>
        <w:spacing w:after="0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Комментарии к слайдам делаются не в момент их появления и не до него, а после того, как аудитория будет иметь возможность их рассмотреть.</w:t>
      </w:r>
      <w:r/>
    </w:p>
    <w:p>
      <w:pPr>
        <w:pStyle w:val="908"/>
        <w:ind w:firstLine="720"/>
        <w:jc w:val="both"/>
        <w:spacing w:after="0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Списки на слайдах не должны включать более 5–7 элементов. Если элементов списка все-таки больше, их лучше расположить в две колонки и выделить цветом наиболее значимые результаты.</w:t>
      </w:r>
      <w:r/>
    </w:p>
    <w:p>
      <w:pPr>
        <w:pStyle w:val="908"/>
        <w:ind w:firstLine="720"/>
        <w:jc w:val="both"/>
        <w:spacing w:after="0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В таблицах не должно быть более 4 строк и 4 столбцов — в противном случае данные в таблице будет просто невозможно увидеть. Ячейки с названиями строк и столбцов и наиболее значимые данные рекомендуется выделять цветом.</w:t>
      </w:r>
      <w:r/>
    </w:p>
    <w:p>
      <w:pPr>
        <w:pStyle w:val="908"/>
        <w:ind w:firstLine="720"/>
        <w:jc w:val="both"/>
        <w:spacing w:after="0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Гистограммы не должны включать более 4 категорий, а </w:t>
      </w:r>
      <w:r>
        <w:rPr>
          <w:color w:val="000000"/>
          <w:sz w:val="28"/>
          <w:szCs w:val="28"/>
          <w:lang w:val="ru-RU"/>
        </w:rPr>
        <w:t xml:space="preserve">организационные диаграммы — более 5 элементов.</w:t>
      </w:r>
      <w:r/>
    </w:p>
    <w:p>
      <w:pPr>
        <w:ind w:firstLine="720"/>
        <w:jc w:val="both"/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Не злоупотребляйте эффектами анимации. </w:t>
      </w:r>
      <w:r/>
    </w:p>
    <w:p>
      <w:pPr>
        <w:pStyle w:val="908"/>
        <w:ind w:firstLine="720"/>
        <w:jc w:val="both"/>
        <w:spacing w:after="0"/>
        <w:rPr>
          <w:color w:val="000000"/>
          <w:sz w:val="28"/>
          <w:szCs w:val="28"/>
          <w:lang w:val="ru-RU"/>
        </w:rPr>
      </w:pPr>
      <w:r>
        <w:rPr>
          <w:rStyle w:val="903"/>
          <w:b w:val="0"/>
          <w:color w:val="000000"/>
          <w:sz w:val="28"/>
          <w:szCs w:val="28"/>
          <w:lang w:val="ru-RU"/>
        </w:rPr>
        <w:t xml:space="preserve">Информация на слайдах должна хорошо читаться. </w:t>
      </w:r>
      <w:r>
        <w:rPr>
          <w:color w:val="000000"/>
          <w:sz w:val="28"/>
          <w:szCs w:val="28"/>
          <w:lang w:val="ru-RU"/>
        </w:rPr>
        <w:t xml:space="preserve">На экране л</w:t>
      </w:r>
      <w:r>
        <w:rPr>
          <w:color w:val="000000"/>
          <w:sz w:val="28"/>
          <w:szCs w:val="28"/>
          <w:lang w:val="ru-RU"/>
        </w:rPr>
        <w:t xml:space="preserve">учше воспринимаются шрифты без засечек (такие как, например, </w:t>
      </w:r>
      <w:r>
        <w:rPr>
          <w:color w:val="000000"/>
          <w:sz w:val="28"/>
          <w:szCs w:val="28"/>
        </w:rPr>
        <w:t xml:space="preserve">Tahoma</w:t>
      </w:r>
      <w:r>
        <w:rPr>
          <w:color w:val="000000"/>
          <w:sz w:val="28"/>
          <w:szCs w:val="28"/>
          <w:lang w:val="ru-RU"/>
        </w:rPr>
        <w:t xml:space="preserve">, </w:t>
      </w:r>
      <w:r>
        <w:rPr>
          <w:color w:val="000000"/>
          <w:sz w:val="28"/>
          <w:szCs w:val="28"/>
        </w:rPr>
        <w:t xml:space="preserve">Verdana</w:t>
      </w:r>
      <w:r>
        <w:rPr>
          <w:color w:val="000000"/>
          <w:sz w:val="28"/>
          <w:szCs w:val="28"/>
          <w:lang w:val="ru-RU"/>
        </w:rPr>
        <w:t xml:space="preserve">, </w:t>
      </w:r>
      <w:r>
        <w:rPr>
          <w:color w:val="000000"/>
          <w:sz w:val="28"/>
          <w:szCs w:val="28"/>
        </w:rPr>
        <w:t xml:space="preserve">Arial</w:t>
      </w:r>
      <w:r>
        <w:rPr>
          <w:color w:val="000000"/>
          <w:sz w:val="28"/>
          <w:szCs w:val="28"/>
          <w:lang w:val="ru-RU"/>
        </w:rPr>
        <w:t xml:space="preserve">), поэтому использовать привычный для печатных текстов шрифт </w:t>
      </w:r>
      <w:r>
        <w:rPr>
          <w:color w:val="000000"/>
          <w:sz w:val="28"/>
          <w:szCs w:val="28"/>
        </w:rPr>
        <w:t xml:space="preserve">Times</w:t>
      </w:r>
      <w:r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</w:rPr>
        <w:t xml:space="preserve">New</w:t>
      </w:r>
      <w:r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</w:rPr>
        <w:t xml:space="preserve">Roman</w:t>
      </w:r>
      <w:r>
        <w:rPr>
          <w:color w:val="000000"/>
          <w:sz w:val="28"/>
          <w:szCs w:val="28"/>
          <w:lang w:val="ru-RU"/>
        </w:rPr>
        <w:t xml:space="preserve"> в презентациях не рекомендуется, так же как не рекомендуется использовать курсивное начертание. </w:t>
      </w:r>
      <w:r/>
    </w:p>
    <w:p>
      <w:pPr>
        <w:pStyle w:val="908"/>
        <w:ind w:firstLine="720"/>
        <w:jc w:val="both"/>
        <w:spacing w:after="0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Все слайды должны быть выполнены в едином стиле и формате.</w:t>
      </w:r>
      <w:r/>
    </w:p>
    <w:p>
      <w:pPr>
        <w:ind w:firstLine="720"/>
        <w:jc w:val="both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того, чтобы не сбиваться во время выступления, заранее отрепетируйте с ним порядок и продолжительность показа слайдов (либо установите автоматический режим показа слайдов) и проговорите структуру вашего доклада. </w:t>
      </w:r>
      <w:r/>
    </w:p>
    <w:p>
      <w:pPr>
        <w:ind w:firstLine="709"/>
        <w:spacing w:before="10"/>
        <w:shd w:val="clear" w:color="auto" w:fill="ffffff"/>
        <w:tabs>
          <w:tab w:val="left" w:pos="350" w:leader="none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План выступления студента на защите</w:t>
      </w:r>
      <w:r/>
    </w:p>
    <w:p>
      <w:pPr>
        <w:pStyle w:val="908"/>
        <w:ind w:firstLine="720"/>
        <w:jc w:val="both"/>
        <w:spacing w:after="0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 защите студент - бакалавр делает краткое сообщение (8-10 мин.), </w:t>
      </w:r>
      <w:r>
        <w:rPr>
          <w:color w:val="000000"/>
          <w:sz w:val="28"/>
          <w:szCs w:val="28"/>
          <w:lang w:val="ru-RU"/>
        </w:rPr>
        <w:t xml:space="preserve">что соответствует примерно 5-ти страницам обычного текста шрифтом 12, набранного с межстрочным интервалом 1,5. </w:t>
      </w:r>
      <w:r>
        <w:rPr>
          <w:sz w:val="28"/>
          <w:szCs w:val="28"/>
          <w:lang w:val="ru-RU"/>
        </w:rPr>
        <w:t xml:space="preserve">С</w:t>
      </w:r>
      <w:r>
        <w:rPr>
          <w:color w:val="000000"/>
          <w:sz w:val="28"/>
          <w:szCs w:val="28"/>
          <w:lang w:val="ru-RU"/>
        </w:rPr>
        <w:t xml:space="preserve">тудент-выпускник должен сделать свой доклад свободно, не читая письменного текста.</w:t>
      </w:r>
      <w:r/>
    </w:p>
    <w:p>
      <w:pPr>
        <w:pStyle w:val="908"/>
        <w:ind w:firstLine="720"/>
        <w:jc w:val="both"/>
        <w:spacing w:after="0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Очень важно не торопиться во время выступления, не «мямлить» и не «проглатывать» слова, говорить громко, четко и ясно. Комиссия и присутствующие в зале не должны вслушиваться в речь.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своем выступлении студент должен изложить: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актуальность и обоснование выбранной темы,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цель и задачи исследования,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объект и предмет исследования,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гипотезу исследования,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базу исследования и методы исследования,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полученные результаты, подтверждая и демонстрируя их наглядно (презентация),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общее заключение по исследовательской работе.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сообщения необходимо сделать упор на следующие моменты: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выделение перспективных и плодотворных направлений в дальнейшем изучении темы,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представление самостоятельно сделанных выводов, отражающих содержание, значимость и практическую результативность работы,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дальнейшие перспективы развития тематики данного исследования, подтверждая их наглядными схемами, таблицами, рисунками и графиками.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firstLine="567"/>
        <w:jc w:val="center"/>
        <w:shd w:val="clear" w:color="auto" w:fill="ffffff"/>
        <w:tabs>
          <w:tab w:val="left" w:pos="284" w:leader="none"/>
          <w:tab w:val="left" w:pos="993" w:leader="none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/>
    </w:p>
    <w:p>
      <w:pPr>
        <w:ind w:firstLine="567"/>
        <w:jc w:val="center"/>
        <w:shd w:val="clear" w:color="auto" w:fill="ffffff"/>
        <w:tabs>
          <w:tab w:val="left" w:pos="284" w:leader="none"/>
          <w:tab w:val="left" w:pos="993" w:leader="none"/>
        </w:tabs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Возможность использования дистанционной формы прохождения предзащиты и защиты ВКР</w:t>
      </w:r>
      <w:r/>
    </w:p>
    <w:p>
      <w:pPr>
        <w:ind w:firstLine="567"/>
        <w:jc w:val="both"/>
        <w:shd w:val="clear" w:color="auto" w:fill="ffffff"/>
        <w:tabs>
          <w:tab w:val="left" w:pos="284" w:leader="none"/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ГИА может проводиться с применением ЭО и ДОТ.</w:t>
      </w:r>
      <w:r/>
    </w:p>
    <w:p>
      <w:pPr>
        <w:ind w:firstLine="567"/>
        <w:jc w:val="both"/>
        <w:shd w:val="clear" w:color="auto" w:fill="ffffff"/>
        <w:tabs>
          <w:tab w:val="left" w:pos="284" w:leader="none"/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Порядок проведения защиты ВКР в дистанционной форме определяется Положением о проведении государственной итоговой аттестации обучающихся по основным образовательным программам бакалавриата, магистратуры, специалитета в ТвГУ».</w:t>
      </w:r>
      <w:r>
        <w:rPr>
          <w:sz w:val="28"/>
          <w:szCs w:val="28"/>
        </w:rPr>
        <w:t xml:space="preserve">  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42"/>
        <w:numPr>
          <w:ilvl w:val="0"/>
          <w:numId w:val="28"/>
        </w:numPr>
        <w:ind w:left="714" w:hanging="357"/>
        <w:jc w:val="center"/>
        <w:spacing w:before="10"/>
        <w:shd w:val="clear" w:color="auto" w:fill="ffffff"/>
        <w:tabs>
          <w:tab w:val="left" w:pos="350" w:leader="none"/>
        </w:tabs>
        <w:rPr>
          <w:b/>
          <w:sz w:val="28"/>
          <w:szCs w:val="18"/>
        </w:rPr>
        <w:outlineLvl w:val="0"/>
      </w:pPr>
      <w:r/>
      <w:bookmarkStart w:id="22" w:name="_Toc156137936"/>
      <w:r>
        <w:rPr>
          <w:b/>
          <w:sz w:val="28"/>
          <w:szCs w:val="18"/>
        </w:rPr>
        <w:t xml:space="preserve">КРИТЕРИИ ОЦЕНКИ ВЫПУСКНОЙ КВАЛИФИКАЦИОННОЙ РАБОТЫ</w:t>
      </w:r>
      <w:bookmarkEnd w:id="22"/>
      <w:r/>
      <w:r/>
    </w:p>
    <w:p>
      <w:pPr>
        <w:ind w:firstLine="567"/>
        <w:jc w:val="both"/>
        <w:shd w:val="clear" w:color="auto" w:fill="ffffff"/>
        <w:tabs>
          <w:tab w:val="left" w:pos="992" w:leader="none"/>
        </w:tabs>
        <w:rPr>
          <w:sz w:val="28"/>
          <w:szCs w:val="18"/>
        </w:rPr>
      </w:pPr>
      <w:r>
        <w:rPr>
          <w:sz w:val="28"/>
          <w:szCs w:val="18"/>
        </w:rPr>
        <w:t xml:space="preserve">Результаты защиты ВКР определяются оценками «отлично», «хорошо», «удовлетворительно», «неудовлетворительно». </w:t>
      </w:r>
      <w:r/>
    </w:p>
    <w:p>
      <w:pPr>
        <w:ind w:firstLine="567"/>
        <w:jc w:val="both"/>
        <w:widowControl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 оценке работы учитывается как текст работы, так и ее защита. </w:t>
      </w:r>
      <w:r/>
    </w:p>
    <w:p>
      <w:pPr>
        <w:ind w:firstLine="567"/>
        <w:jc w:val="both"/>
        <w:widowControl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Оценка </w:t>
      </w:r>
      <w:r>
        <w:rPr>
          <w:sz w:val="28"/>
          <w:szCs w:val="18"/>
        </w:rPr>
        <w:t xml:space="preserve">ВКР</w:t>
      </w:r>
      <w:r>
        <w:rPr>
          <w:sz w:val="28"/>
          <w:szCs w:val="28"/>
        </w:rPr>
        <w:t xml:space="preserve"> выставляется в соответствии с выработанными критериями. </w:t>
      </w:r>
      <w:r/>
    </w:p>
    <w:p>
      <w:pPr>
        <w:ind w:firstLine="567"/>
        <w:jc w:val="both"/>
        <w:widowControl/>
        <w:tabs>
          <w:tab w:val="left" w:pos="992" w:leader="none"/>
        </w:tabs>
        <w:rPr>
          <w:rStyle w:val="919"/>
          <w:sz w:val="28"/>
          <w:szCs w:val="28"/>
        </w:rPr>
      </w:pPr>
      <w:r>
        <w:rPr>
          <w:rStyle w:val="919"/>
          <w:b/>
          <w:sz w:val="28"/>
          <w:szCs w:val="28"/>
        </w:rPr>
        <w:t xml:space="preserve">Критериями оценки ВКР</w:t>
      </w:r>
      <w:r>
        <w:rPr>
          <w:rStyle w:val="919"/>
          <w:sz w:val="28"/>
          <w:szCs w:val="28"/>
        </w:rPr>
        <w:t xml:space="preserve"> являются:</w:t>
      </w:r>
      <w:r/>
    </w:p>
    <w:p>
      <w:pPr>
        <w:numPr>
          <w:ilvl w:val="0"/>
          <w:numId w:val="15"/>
        </w:numPr>
        <w:ind w:left="0" w:firstLine="567"/>
        <w:jc w:val="both"/>
        <w:widowControl/>
        <w:tabs>
          <w:tab w:val="left" w:pos="992" w:leader="none"/>
        </w:tabs>
        <w:rPr>
          <w:rStyle w:val="919"/>
          <w:sz w:val="28"/>
          <w:szCs w:val="28"/>
        </w:rPr>
      </w:pPr>
      <w:r>
        <w:rPr>
          <w:rStyle w:val="919"/>
          <w:sz w:val="28"/>
          <w:szCs w:val="28"/>
        </w:rPr>
        <w:t xml:space="preserve">научный уровень доклада, степень освещенности в нем вопросов темы исследования, значение сделанных выводов и предложений для организации;</w:t>
      </w:r>
      <w:r/>
    </w:p>
    <w:p>
      <w:pPr>
        <w:numPr>
          <w:ilvl w:val="0"/>
          <w:numId w:val="15"/>
        </w:numPr>
        <w:ind w:left="0" w:firstLine="567"/>
        <w:jc w:val="both"/>
        <w:widowControl/>
        <w:tabs>
          <w:tab w:val="left" w:pos="992" w:leader="none"/>
        </w:tabs>
        <w:rPr>
          <w:rStyle w:val="919"/>
          <w:sz w:val="28"/>
          <w:szCs w:val="28"/>
        </w:rPr>
      </w:pPr>
      <w:r>
        <w:rPr>
          <w:rStyle w:val="919"/>
          <w:sz w:val="28"/>
          <w:szCs w:val="28"/>
        </w:rPr>
        <w:t xml:space="preserve">использование специальной научной литературы, материалов производственной и преддипломной практик;</w:t>
      </w:r>
      <w:r/>
    </w:p>
    <w:p>
      <w:pPr>
        <w:numPr>
          <w:ilvl w:val="0"/>
          <w:numId w:val="15"/>
        </w:numPr>
        <w:ind w:left="0" w:firstLine="567"/>
        <w:jc w:val="both"/>
        <w:widowControl/>
        <w:tabs>
          <w:tab w:val="left" w:pos="992" w:leader="none"/>
        </w:tabs>
        <w:rPr>
          <w:rStyle w:val="919"/>
          <w:sz w:val="28"/>
          <w:szCs w:val="28"/>
        </w:rPr>
      </w:pPr>
      <w:r>
        <w:rPr>
          <w:rStyle w:val="919"/>
          <w:sz w:val="28"/>
          <w:szCs w:val="28"/>
        </w:rPr>
        <w:t xml:space="preserve">творческий подход к разработке темы;</w:t>
      </w:r>
      <w:r/>
    </w:p>
    <w:p>
      <w:pPr>
        <w:numPr>
          <w:ilvl w:val="0"/>
          <w:numId w:val="15"/>
        </w:numPr>
        <w:ind w:left="0" w:firstLine="567"/>
        <w:jc w:val="both"/>
        <w:widowControl/>
        <w:tabs>
          <w:tab w:val="left" w:pos="992" w:leader="none"/>
        </w:tabs>
        <w:rPr>
          <w:rStyle w:val="919"/>
          <w:sz w:val="28"/>
          <w:szCs w:val="28"/>
        </w:rPr>
      </w:pPr>
      <w:r>
        <w:rPr>
          <w:rStyle w:val="919"/>
          <w:sz w:val="28"/>
          <w:szCs w:val="28"/>
        </w:rPr>
        <w:t xml:space="preserve">научная обоснованность выводов;</w:t>
      </w:r>
      <w:r/>
    </w:p>
    <w:p>
      <w:pPr>
        <w:numPr>
          <w:ilvl w:val="0"/>
          <w:numId w:val="15"/>
        </w:numPr>
        <w:ind w:left="0" w:firstLine="567"/>
        <w:jc w:val="both"/>
        <w:widowControl/>
        <w:tabs>
          <w:tab w:val="left" w:pos="992" w:leader="none"/>
        </w:tabs>
        <w:rPr>
          <w:rStyle w:val="919"/>
          <w:sz w:val="28"/>
          <w:szCs w:val="28"/>
        </w:rPr>
      </w:pPr>
      <w:r>
        <w:rPr>
          <w:rStyle w:val="919"/>
          <w:sz w:val="28"/>
          <w:szCs w:val="28"/>
        </w:rPr>
        <w:t xml:space="preserve">стиль изложения;</w:t>
      </w:r>
      <w:r/>
    </w:p>
    <w:p>
      <w:pPr>
        <w:numPr>
          <w:ilvl w:val="0"/>
          <w:numId w:val="15"/>
        </w:numPr>
        <w:ind w:left="0" w:firstLine="567"/>
        <w:jc w:val="both"/>
        <w:widowControl/>
        <w:tabs>
          <w:tab w:val="left" w:pos="992" w:leader="none"/>
        </w:tabs>
        <w:rPr>
          <w:rStyle w:val="919"/>
          <w:sz w:val="28"/>
          <w:szCs w:val="28"/>
        </w:rPr>
      </w:pPr>
      <w:r>
        <w:rPr>
          <w:rStyle w:val="919"/>
          <w:sz w:val="28"/>
          <w:szCs w:val="28"/>
        </w:rPr>
        <w:t xml:space="preserve">оформление выпускной квалификационной работы (ВКР):</w:t>
      </w:r>
      <w:r/>
    </w:p>
    <w:p>
      <w:pPr>
        <w:numPr>
          <w:ilvl w:val="0"/>
          <w:numId w:val="15"/>
        </w:numPr>
        <w:ind w:left="0" w:firstLine="567"/>
        <w:jc w:val="both"/>
        <w:widowControl/>
        <w:tabs>
          <w:tab w:val="left" w:pos="992" w:leader="none"/>
        </w:tabs>
        <w:rPr>
          <w:rStyle w:val="919"/>
          <w:sz w:val="28"/>
          <w:szCs w:val="28"/>
        </w:rPr>
      </w:pPr>
      <w:r>
        <w:rPr>
          <w:rStyle w:val="919"/>
          <w:sz w:val="28"/>
          <w:szCs w:val="28"/>
        </w:rPr>
        <w:t xml:space="preserve">степень профессиональной подготовленности, проявившаяся как в содержании выпускной квалификационной работы бакалавра, так и в процессе её защиты:</w:t>
      </w:r>
      <w:r/>
    </w:p>
    <w:p>
      <w:pPr>
        <w:numPr>
          <w:ilvl w:val="0"/>
          <w:numId w:val="15"/>
        </w:numPr>
        <w:ind w:left="0" w:firstLine="567"/>
        <w:jc w:val="both"/>
        <w:widowControl/>
        <w:tabs>
          <w:tab w:val="left" w:pos="992" w:leader="none"/>
        </w:tabs>
        <w:rPr>
          <w:rStyle w:val="919"/>
          <w:sz w:val="28"/>
          <w:szCs w:val="28"/>
        </w:rPr>
      </w:pPr>
      <w:r>
        <w:rPr>
          <w:rStyle w:val="919"/>
          <w:sz w:val="28"/>
          <w:szCs w:val="28"/>
        </w:rPr>
        <w:t xml:space="preserve">чёткость и аргументированность ответов студента на вопросы, заданные ему в процессе защиты;</w:t>
      </w:r>
      <w:r/>
    </w:p>
    <w:p>
      <w:pPr>
        <w:numPr>
          <w:ilvl w:val="0"/>
          <w:numId w:val="15"/>
        </w:numPr>
        <w:ind w:left="0" w:firstLine="567"/>
        <w:jc w:val="both"/>
        <w:widowControl/>
        <w:tabs>
          <w:tab w:val="left" w:pos="992" w:leader="none"/>
        </w:tabs>
        <w:rPr>
          <w:rStyle w:val="919"/>
          <w:sz w:val="28"/>
          <w:szCs w:val="28"/>
        </w:rPr>
      </w:pPr>
      <w:r>
        <w:rPr>
          <w:rStyle w:val="919"/>
          <w:sz w:val="28"/>
          <w:szCs w:val="28"/>
        </w:rPr>
        <w:t xml:space="preserve">положительная оценка научного руководителя в отзыве.</w:t>
      </w:r>
      <w:r/>
    </w:p>
    <w:p>
      <w:pPr>
        <w:ind w:firstLine="567"/>
        <w:jc w:val="both"/>
        <w:shd w:val="clear" w:color="auto" w:fill="ffffff"/>
        <w:tabs>
          <w:tab w:val="left" w:pos="992" w:leader="none"/>
        </w:tabs>
        <w:rPr>
          <w:b/>
          <w:sz w:val="28"/>
          <w:szCs w:val="18"/>
          <w:highlight w:val="yellow"/>
        </w:rPr>
      </w:pPr>
      <w:r>
        <w:rPr>
          <w:b/>
          <w:sz w:val="28"/>
          <w:szCs w:val="18"/>
          <w:highlight w:val="yellow"/>
        </w:rPr>
      </w:r>
      <w:r/>
    </w:p>
    <w:p>
      <w:pPr>
        <w:ind w:firstLine="567"/>
        <w:jc w:val="both"/>
        <w:shd w:val="clear" w:color="auto" w:fill="ffffff"/>
        <w:tabs>
          <w:tab w:val="left" w:pos="992" w:leader="none"/>
        </w:tabs>
        <w:rPr>
          <w:sz w:val="28"/>
          <w:szCs w:val="18"/>
        </w:rPr>
      </w:pPr>
      <w:r>
        <w:rPr>
          <w:b/>
          <w:sz w:val="28"/>
          <w:szCs w:val="18"/>
        </w:rPr>
        <w:t xml:space="preserve">Оценка «отлично»</w:t>
      </w:r>
      <w:r>
        <w:rPr>
          <w:sz w:val="28"/>
          <w:szCs w:val="18"/>
        </w:rPr>
        <w:t xml:space="preserve"> выставляется в том случае, если ВКР соответствует следующим критериям:</w:t>
      </w:r>
      <w:r/>
    </w:p>
    <w:p>
      <w:pPr>
        <w:pStyle w:val="922"/>
        <w:numPr>
          <w:ilvl w:val="0"/>
          <w:numId w:val="17"/>
        </w:numPr>
        <w:ind w:left="0" w:firstLine="567"/>
        <w:jc w:val="both"/>
        <w:spacing w:before="0" w:beforeAutospacing="0" w:after="0" w:afterAutospacing="0"/>
        <w:tabs>
          <w:tab w:val="clear" w:pos="360" w:leader="none"/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Проблема, заявленная в выпускной квалификационной работе, является актуальной и практически значимой.</w:t>
      </w:r>
      <w:r/>
    </w:p>
    <w:p>
      <w:pPr>
        <w:pStyle w:val="922"/>
        <w:numPr>
          <w:ilvl w:val="0"/>
          <w:numId w:val="17"/>
        </w:numPr>
        <w:ind w:left="0" w:firstLine="567"/>
        <w:jc w:val="both"/>
        <w:spacing w:before="0" w:beforeAutospacing="0" w:after="0" w:afterAutospacing="0"/>
        <w:tabs>
          <w:tab w:val="clear" w:pos="360" w:leader="none"/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Студент свободно владеет теоретическим и эмпирическим материалом по теме выпускной квалификационной работы.</w:t>
      </w:r>
      <w:r/>
    </w:p>
    <w:p>
      <w:pPr>
        <w:pStyle w:val="922"/>
        <w:numPr>
          <w:ilvl w:val="0"/>
          <w:numId w:val="17"/>
        </w:numPr>
        <w:ind w:left="0" w:firstLine="567"/>
        <w:jc w:val="both"/>
        <w:spacing w:before="0" w:beforeAutospacing="0" w:after="0" w:afterAutospacing="0"/>
        <w:tabs>
          <w:tab w:val="clear" w:pos="360" w:leader="none"/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работе широко представлен наглядный материал (графики, таблицы, схемы, модели и т.п.).</w:t>
      </w:r>
      <w:r/>
    </w:p>
    <w:p>
      <w:pPr>
        <w:pStyle w:val="922"/>
        <w:numPr>
          <w:ilvl w:val="0"/>
          <w:numId w:val="17"/>
        </w:numPr>
        <w:ind w:left="0" w:firstLine="567"/>
        <w:jc w:val="both"/>
        <w:spacing w:before="0" w:beforeAutospacing="0" w:after="0" w:afterAutospacing="0"/>
        <w:tabs>
          <w:tab w:val="clear" w:pos="360" w:leader="none"/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Выпускная работа успешно репрезентирована: </w:t>
      </w:r>
      <w:r/>
    </w:p>
    <w:p>
      <w:pPr>
        <w:pStyle w:val="922"/>
        <w:numPr>
          <w:ilvl w:val="0"/>
          <w:numId w:val="20"/>
        </w:numPr>
        <w:ind w:left="0" w:firstLine="567"/>
        <w:jc w:val="both"/>
        <w:spacing w:before="0" w:beforeAutospacing="0" w:after="0" w:afterAutospacing="0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доклад выпускника отвечает требованиям необходимости и достаточности изучаемого материала;</w:t>
      </w:r>
      <w:r/>
    </w:p>
    <w:p>
      <w:pPr>
        <w:pStyle w:val="922"/>
        <w:numPr>
          <w:ilvl w:val="0"/>
          <w:numId w:val="20"/>
        </w:numPr>
        <w:ind w:left="0" w:firstLine="567"/>
        <w:jc w:val="both"/>
        <w:spacing w:before="0" w:beforeAutospacing="0" w:after="0" w:afterAutospacing="0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представлена мультимедийная презентация, раздаточный материал;</w:t>
      </w:r>
      <w:r/>
    </w:p>
    <w:p>
      <w:pPr>
        <w:pStyle w:val="922"/>
        <w:numPr>
          <w:ilvl w:val="0"/>
          <w:numId w:val="20"/>
        </w:numPr>
        <w:ind w:left="0" w:firstLine="567"/>
        <w:jc w:val="both"/>
        <w:spacing w:before="0" w:beforeAutospacing="0" w:after="0" w:afterAutospacing="0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даны </w:t>
      </w:r>
      <w:r>
        <w:rPr>
          <w:rStyle w:val="919"/>
          <w:sz w:val="28"/>
          <w:szCs w:val="28"/>
        </w:rPr>
        <w:t xml:space="preserve">чёткие и аргументированные ответы</w:t>
      </w:r>
      <w:r>
        <w:rPr>
          <w:sz w:val="28"/>
          <w:szCs w:val="28"/>
        </w:rPr>
        <w:t xml:space="preserve"> на поставленные вопросы членов ГЭК.</w:t>
      </w:r>
      <w:r/>
    </w:p>
    <w:p>
      <w:pPr>
        <w:numPr>
          <w:ilvl w:val="0"/>
          <w:numId w:val="17"/>
        </w:numPr>
        <w:ind w:left="0" w:firstLine="567"/>
        <w:jc w:val="both"/>
        <w:widowControl/>
        <w:tabs>
          <w:tab w:val="clear" w:pos="360" w:leader="none"/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Соблюдены правила оформления текста: </w:t>
      </w:r>
      <w:r/>
    </w:p>
    <w:p>
      <w:pPr>
        <w:pStyle w:val="742"/>
        <w:numPr>
          <w:ilvl w:val="0"/>
          <w:numId w:val="18"/>
        </w:numPr>
        <w:ind w:left="0" w:firstLine="567"/>
        <w:jc w:val="both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оформление</w:t>
      </w:r>
      <w:r>
        <w:rPr>
          <w:sz w:val="28"/>
          <w:szCs w:val="28"/>
        </w:rPr>
        <w:t xml:space="preserve"> в соответствии с общими требованиями ФГОС; </w:t>
      </w:r>
      <w:r/>
    </w:p>
    <w:p>
      <w:pPr>
        <w:pStyle w:val="742"/>
        <w:numPr>
          <w:ilvl w:val="0"/>
          <w:numId w:val="18"/>
        </w:numPr>
        <w:ind w:left="0" w:firstLine="567"/>
        <w:jc w:val="both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грамотное цитирование и оформление ссылок; </w:t>
      </w:r>
      <w:r/>
    </w:p>
    <w:p>
      <w:pPr>
        <w:pStyle w:val="742"/>
        <w:numPr>
          <w:ilvl w:val="0"/>
          <w:numId w:val="18"/>
        </w:numPr>
        <w:ind w:left="0" w:firstLine="567"/>
        <w:jc w:val="both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в работе в полной мере использованы современные литературные источники;</w:t>
      </w:r>
      <w:r/>
    </w:p>
    <w:p>
      <w:pPr>
        <w:pStyle w:val="742"/>
        <w:numPr>
          <w:ilvl w:val="0"/>
          <w:numId w:val="18"/>
        </w:numPr>
        <w:ind w:left="0" w:firstLine="567"/>
        <w:jc w:val="both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представлены зарубежные источники литературы;</w:t>
      </w:r>
      <w:r/>
    </w:p>
    <w:p>
      <w:pPr>
        <w:pStyle w:val="742"/>
        <w:numPr>
          <w:ilvl w:val="0"/>
          <w:numId w:val="18"/>
        </w:numPr>
        <w:ind w:left="0" w:firstLine="567"/>
        <w:jc w:val="both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минимальное количество проработанной литературы составляет 50 источников.</w:t>
      </w:r>
      <w:r/>
    </w:p>
    <w:p>
      <w:pPr>
        <w:pStyle w:val="922"/>
        <w:numPr>
          <w:ilvl w:val="0"/>
          <w:numId w:val="17"/>
        </w:numPr>
        <w:ind w:left="0" w:firstLine="567"/>
        <w:jc w:val="both"/>
        <w:spacing w:before="0" w:beforeAutospacing="0" w:after="0" w:afterAutospacing="0"/>
        <w:tabs>
          <w:tab w:val="clear" w:pos="360" w:leader="none"/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Выпускная работа имеет положительный отзыв научного руководителя.</w:t>
      </w:r>
      <w:r/>
    </w:p>
    <w:p>
      <w:pPr>
        <w:pStyle w:val="922"/>
        <w:numPr>
          <w:ilvl w:val="0"/>
          <w:numId w:val="17"/>
        </w:numPr>
        <w:ind w:left="0" w:firstLine="567"/>
        <w:jc w:val="both"/>
        <w:spacing w:before="0" w:beforeAutospacing="0" w:after="0" w:afterAutospacing="0"/>
        <w:tabs>
          <w:tab w:val="clear" w:pos="360" w:leader="none"/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Студент получает рекомендации ГЭК к продолжению заявленного научного исследования и к публикации.</w:t>
      </w:r>
      <w:r/>
    </w:p>
    <w:p>
      <w:pPr>
        <w:ind w:firstLine="567"/>
        <w:jc w:val="both"/>
        <w:shd w:val="clear" w:color="auto" w:fill="ffffff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firstLine="567"/>
        <w:jc w:val="both"/>
        <w:shd w:val="clear" w:color="auto" w:fill="ffffff"/>
        <w:tabs>
          <w:tab w:val="left" w:pos="992" w:leader="none"/>
        </w:tabs>
        <w:rPr>
          <w:b/>
          <w:sz w:val="28"/>
          <w:szCs w:val="18"/>
          <w:highlight w:val="yellow"/>
        </w:rPr>
      </w:pPr>
      <w:r>
        <w:rPr>
          <w:b/>
          <w:sz w:val="28"/>
          <w:szCs w:val="18"/>
        </w:rPr>
        <w:t xml:space="preserve">Оценка «хорошо»</w:t>
      </w:r>
      <w:r>
        <w:rPr>
          <w:sz w:val="28"/>
          <w:szCs w:val="18"/>
        </w:rPr>
        <w:t xml:space="preserve"> выставляется в том случае, если ВКР соответствует следующим критериям:</w:t>
      </w:r>
      <w:r/>
    </w:p>
    <w:p>
      <w:pPr>
        <w:pStyle w:val="922"/>
        <w:numPr>
          <w:ilvl w:val="0"/>
          <w:numId w:val="19"/>
        </w:numPr>
        <w:ind w:left="0" w:firstLine="567"/>
        <w:jc w:val="both"/>
        <w:spacing w:before="0" w:beforeAutospacing="0" w:after="0" w:afterAutospacing="0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Проблема, заявленная в выпускной квалификационной работе, является актуальной и практически значимой.</w:t>
      </w:r>
      <w:r/>
    </w:p>
    <w:p>
      <w:pPr>
        <w:pStyle w:val="922"/>
        <w:numPr>
          <w:ilvl w:val="0"/>
          <w:numId w:val="19"/>
        </w:numPr>
        <w:ind w:left="0" w:firstLine="567"/>
        <w:jc w:val="both"/>
        <w:spacing w:before="0" w:beforeAutospacing="0" w:after="0" w:afterAutospacing="0"/>
        <w:tabs>
          <w:tab w:val="left" w:pos="992" w:leader="none"/>
        </w:tabs>
        <w:rPr>
          <w:rStyle w:val="919"/>
          <w:sz w:val="28"/>
          <w:szCs w:val="28"/>
        </w:rPr>
      </w:pPr>
      <w:r>
        <w:rPr>
          <w:sz w:val="28"/>
          <w:szCs w:val="28"/>
        </w:rPr>
        <w:t xml:space="preserve">Студент владеет теоретическим и эмпирическим материалом по теме исследования, но </w:t>
      </w:r>
      <w:r>
        <w:rPr>
          <w:rStyle w:val="919"/>
          <w:sz w:val="28"/>
          <w:szCs w:val="28"/>
        </w:rPr>
        <w:t xml:space="preserve">не на все вопросы </w:t>
      </w:r>
      <w:r>
        <w:rPr>
          <w:sz w:val="28"/>
          <w:szCs w:val="28"/>
        </w:rPr>
        <w:t xml:space="preserve">поставленные членами ГЭК</w:t>
      </w:r>
      <w:r>
        <w:rPr>
          <w:rStyle w:val="919"/>
          <w:sz w:val="28"/>
          <w:szCs w:val="28"/>
        </w:rPr>
        <w:t xml:space="preserve"> </w:t>
      </w:r>
      <w:r>
        <w:rPr>
          <w:rStyle w:val="919"/>
          <w:sz w:val="28"/>
          <w:szCs w:val="28"/>
        </w:rPr>
        <w:t xml:space="preserve">дает исчерпывающие и аргументированные ответы.</w:t>
      </w:r>
      <w:r/>
    </w:p>
    <w:p>
      <w:pPr>
        <w:pStyle w:val="922"/>
        <w:numPr>
          <w:ilvl w:val="0"/>
          <w:numId w:val="19"/>
        </w:numPr>
        <w:ind w:left="0" w:firstLine="567"/>
        <w:jc w:val="both"/>
        <w:spacing w:before="0" w:beforeAutospacing="0" w:after="0" w:afterAutospacing="0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Выпускная работа имеет положительный отзыв научного руководителя.</w:t>
      </w:r>
      <w:r/>
    </w:p>
    <w:p>
      <w:pPr>
        <w:pStyle w:val="922"/>
        <w:numPr>
          <w:ilvl w:val="0"/>
          <w:numId w:val="19"/>
        </w:numPr>
        <w:ind w:left="0" w:firstLine="567"/>
        <w:jc w:val="both"/>
        <w:spacing w:before="0" w:beforeAutospacing="0" w:after="0" w:afterAutospacing="0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Имеются отдельные мелкие недочеты по тем или иным аспектам выпускной квалификационной работы.</w:t>
      </w:r>
      <w:r/>
    </w:p>
    <w:p>
      <w:pPr>
        <w:pStyle w:val="742"/>
        <w:numPr>
          <w:ilvl w:val="0"/>
          <w:numId w:val="19"/>
        </w:numPr>
        <w:ind w:left="0" w:firstLine="567"/>
        <w:jc w:val="both"/>
        <w:shd w:val="clear" w:color="auto" w:fill="ffffff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18"/>
        </w:rPr>
        <w:t xml:space="preserve">Отмечается наличие </w:t>
      </w:r>
      <w:r>
        <w:rPr>
          <w:sz w:val="28"/>
          <w:szCs w:val="28"/>
        </w:rPr>
        <w:t xml:space="preserve">отдельных недочетов в</w:t>
      </w:r>
      <w:r>
        <w:rPr>
          <w:sz w:val="28"/>
          <w:szCs w:val="28"/>
        </w:rPr>
        <w:t xml:space="preserve"> оформление текста: </w:t>
      </w:r>
      <w:r/>
    </w:p>
    <w:p>
      <w:pPr>
        <w:pStyle w:val="742"/>
        <w:numPr>
          <w:ilvl w:val="0"/>
          <w:numId w:val="18"/>
        </w:numPr>
        <w:ind w:left="0" w:firstLine="567"/>
        <w:jc w:val="both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 цитировании и оформлении ссылок; </w:t>
      </w:r>
      <w:r/>
    </w:p>
    <w:p>
      <w:pPr>
        <w:pStyle w:val="742"/>
        <w:numPr>
          <w:ilvl w:val="0"/>
          <w:numId w:val="18"/>
        </w:numPr>
        <w:ind w:left="0" w:firstLine="567"/>
        <w:jc w:val="both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недостаточное использование современных литературных источников;</w:t>
      </w:r>
      <w:r/>
    </w:p>
    <w:p>
      <w:pPr>
        <w:pStyle w:val="742"/>
        <w:numPr>
          <w:ilvl w:val="0"/>
          <w:numId w:val="18"/>
        </w:numPr>
        <w:ind w:left="0" w:firstLine="567"/>
        <w:jc w:val="both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представлены зарубежные источники литературы;</w:t>
      </w:r>
      <w:r/>
    </w:p>
    <w:p>
      <w:pPr>
        <w:pStyle w:val="742"/>
        <w:numPr>
          <w:ilvl w:val="0"/>
          <w:numId w:val="18"/>
        </w:numPr>
        <w:ind w:left="0" w:firstLine="567"/>
        <w:jc w:val="both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количество проработанной литературы составляет от 40 до 50 источников.</w:t>
      </w:r>
      <w:r/>
    </w:p>
    <w:p>
      <w:pPr>
        <w:ind w:firstLine="567"/>
        <w:jc w:val="both"/>
        <w:shd w:val="clear" w:color="auto" w:fill="ffffff"/>
        <w:tabs>
          <w:tab w:val="left" w:pos="992" w:leader="none"/>
        </w:tabs>
        <w:rPr>
          <w:b/>
          <w:bCs/>
          <w:color w:val="000000"/>
          <w:sz w:val="28"/>
          <w:szCs w:val="27"/>
        </w:rPr>
      </w:pPr>
      <w:r>
        <w:rPr>
          <w:b/>
          <w:bCs/>
          <w:color w:val="000000"/>
          <w:sz w:val="28"/>
          <w:szCs w:val="27"/>
        </w:rPr>
      </w:r>
      <w:r/>
    </w:p>
    <w:p>
      <w:pPr>
        <w:ind w:firstLine="567"/>
        <w:jc w:val="both"/>
        <w:shd w:val="clear" w:color="auto" w:fill="ffffff"/>
        <w:tabs>
          <w:tab w:val="left" w:pos="992" w:leader="none"/>
        </w:tabs>
        <w:rPr>
          <w:b/>
          <w:sz w:val="28"/>
          <w:szCs w:val="18"/>
          <w:highlight w:val="yellow"/>
        </w:rPr>
      </w:pPr>
      <w:r>
        <w:rPr>
          <w:b/>
          <w:bCs/>
          <w:color w:val="000000"/>
          <w:sz w:val="28"/>
          <w:szCs w:val="27"/>
        </w:rPr>
        <w:t xml:space="preserve">Оценка «удовлетворительно»</w:t>
      </w:r>
      <w:r>
        <w:rPr>
          <w:sz w:val="28"/>
          <w:szCs w:val="18"/>
        </w:rPr>
        <w:t xml:space="preserve"> выставляется в том случае, если ВКР соответствует следующим критериям:</w:t>
      </w:r>
      <w:r/>
    </w:p>
    <w:p>
      <w:pPr>
        <w:pStyle w:val="922"/>
        <w:numPr>
          <w:ilvl w:val="0"/>
          <w:numId w:val="24"/>
        </w:numPr>
        <w:ind w:left="0" w:firstLine="567"/>
        <w:jc w:val="both"/>
        <w:spacing w:before="0" w:beforeAutospacing="0" w:after="0" w:afterAutospacing="0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Проблема, заявленная в выпускной квалификационной работе, недостаточно актуальна и/или обоснована.</w:t>
      </w:r>
      <w:r/>
    </w:p>
    <w:p>
      <w:pPr>
        <w:pStyle w:val="922"/>
        <w:numPr>
          <w:ilvl w:val="0"/>
          <w:numId w:val="24"/>
        </w:numPr>
        <w:ind w:left="0" w:firstLine="567"/>
        <w:jc w:val="both"/>
        <w:spacing w:before="0" w:beforeAutospacing="0" w:after="0" w:afterAutospacing="0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Студент </w:t>
      </w:r>
      <w:r>
        <w:rPr>
          <w:rStyle w:val="919"/>
          <w:sz w:val="28"/>
          <w:szCs w:val="28"/>
        </w:rPr>
        <w:t xml:space="preserve">плохо владеет </w:t>
      </w:r>
      <w:r>
        <w:rPr>
          <w:sz w:val="28"/>
          <w:szCs w:val="28"/>
        </w:rPr>
        <w:t xml:space="preserve">теоретическим и эмпирическим материалом по теме исследования, допускает существенные ошибки в ответах на поставленные вопросы членов ГЭК.</w:t>
      </w:r>
      <w:r/>
    </w:p>
    <w:p>
      <w:pPr>
        <w:pStyle w:val="922"/>
        <w:numPr>
          <w:ilvl w:val="0"/>
          <w:numId w:val="24"/>
        </w:numPr>
        <w:ind w:left="0" w:firstLine="567"/>
        <w:jc w:val="both"/>
        <w:spacing w:before="0" w:beforeAutospacing="0" w:after="0" w:afterAutospacing="0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Выступление на защите выпускной квалификационной работы  не структурировано, не отвечает требованиям необходимости и достаточности изучаемого материала.</w:t>
      </w:r>
      <w:r/>
    </w:p>
    <w:p>
      <w:pPr>
        <w:pStyle w:val="922"/>
        <w:numPr>
          <w:ilvl w:val="0"/>
          <w:numId w:val="24"/>
        </w:numPr>
        <w:ind w:left="0" w:firstLine="567"/>
        <w:jc w:val="both"/>
        <w:spacing w:before="0" w:beforeAutospacing="0" w:after="0" w:afterAutospacing="0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в полной мере представлен или отсутствует раздаточный материал, и/или не представлена мультимедийная презентация.</w:t>
      </w:r>
      <w:r/>
    </w:p>
    <w:p>
      <w:pPr>
        <w:pStyle w:val="922"/>
        <w:numPr>
          <w:ilvl w:val="0"/>
          <w:numId w:val="24"/>
        </w:numPr>
        <w:ind w:left="0" w:firstLine="567"/>
        <w:jc w:val="both"/>
        <w:spacing w:before="0" w:beforeAutospacing="0" w:after="0" w:afterAutospacing="0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Структура и оформление выпускной квалификационной работы в основном соответствуют установленным требованиям, но имеются серьезные недочеты и замечания:</w:t>
      </w:r>
      <w:r/>
    </w:p>
    <w:p>
      <w:pPr>
        <w:pStyle w:val="742"/>
        <w:numPr>
          <w:ilvl w:val="0"/>
          <w:numId w:val="25"/>
        </w:numPr>
        <w:ind w:left="0" w:firstLine="567"/>
        <w:jc w:val="both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 цитировании и оформлении ссылок; </w:t>
      </w:r>
      <w:r/>
    </w:p>
    <w:p>
      <w:pPr>
        <w:pStyle w:val="742"/>
        <w:numPr>
          <w:ilvl w:val="0"/>
          <w:numId w:val="25"/>
        </w:numPr>
        <w:ind w:left="0" w:firstLine="567"/>
        <w:jc w:val="both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некорректного заимствования (наличие переписывания источников с «расковычиванием», без ссылок на автора, первоисточник);</w:t>
      </w:r>
      <w:r/>
    </w:p>
    <w:p>
      <w:pPr>
        <w:pStyle w:val="742"/>
        <w:numPr>
          <w:ilvl w:val="0"/>
          <w:numId w:val="25"/>
        </w:numPr>
        <w:ind w:left="0" w:firstLine="567"/>
        <w:jc w:val="both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количество проработанной литературы составляет менее 30 источников;</w:t>
      </w:r>
      <w:r/>
    </w:p>
    <w:p>
      <w:pPr>
        <w:pStyle w:val="742"/>
        <w:numPr>
          <w:ilvl w:val="0"/>
          <w:numId w:val="25"/>
        </w:numPr>
        <w:ind w:left="0" w:firstLine="567"/>
        <w:jc w:val="both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представлены зарубежные источники литературы.</w:t>
      </w:r>
      <w:r/>
    </w:p>
    <w:p>
      <w:pPr>
        <w:pStyle w:val="922"/>
        <w:numPr>
          <w:ilvl w:val="0"/>
          <w:numId w:val="24"/>
        </w:numPr>
        <w:ind w:left="0" w:firstLine="567"/>
        <w:jc w:val="both"/>
        <w:spacing w:before="0" w:beforeAutospacing="0" w:after="0" w:afterAutospacing="0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Отзыв научного руководителя содержит</w:t>
      </w:r>
      <w:r>
        <w:rPr>
          <w:rStyle w:val="919"/>
          <w:sz w:val="28"/>
          <w:szCs w:val="28"/>
        </w:rPr>
        <w:t xml:space="preserve"> принципиальные замечания по ее содержанию, не соблюдению графика написания ВКР и т.д.</w:t>
      </w:r>
      <w:r/>
    </w:p>
    <w:p>
      <w:pPr>
        <w:ind w:firstLine="567"/>
        <w:jc w:val="both"/>
        <w:tabs>
          <w:tab w:val="left" w:pos="992" w:leader="none"/>
        </w:tabs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</w:r>
      <w:r/>
    </w:p>
    <w:p>
      <w:pPr>
        <w:ind w:firstLine="567"/>
        <w:jc w:val="both"/>
        <w:shd w:val="clear" w:color="auto" w:fill="ffffff"/>
        <w:tabs>
          <w:tab w:val="left" w:pos="992" w:leader="none"/>
        </w:tabs>
        <w:rPr>
          <w:b/>
          <w:sz w:val="28"/>
          <w:szCs w:val="18"/>
          <w:highlight w:val="yellow"/>
        </w:rPr>
      </w:pPr>
      <w:r>
        <w:rPr>
          <w:b/>
          <w:bCs/>
          <w:color w:val="000000"/>
          <w:sz w:val="28"/>
          <w:szCs w:val="27"/>
        </w:rPr>
        <w:t xml:space="preserve">Оценка «неудовлетворительно»</w:t>
      </w:r>
      <w:r>
        <w:rPr>
          <w:sz w:val="28"/>
          <w:szCs w:val="18"/>
        </w:rPr>
        <w:t xml:space="preserve"> </w:t>
      </w:r>
      <w:r>
        <w:rPr>
          <w:sz w:val="28"/>
          <w:szCs w:val="18"/>
        </w:rPr>
        <w:t xml:space="preserve">выставляется в том случае, если ВКР соответствует следующим критериям:</w:t>
      </w:r>
      <w:r/>
    </w:p>
    <w:p>
      <w:pPr>
        <w:pStyle w:val="922"/>
        <w:numPr>
          <w:ilvl w:val="0"/>
          <w:numId w:val="26"/>
        </w:numPr>
        <w:ind w:left="0" w:firstLine="567"/>
        <w:jc w:val="both"/>
        <w:spacing w:before="0" w:beforeAutospacing="0" w:after="0" w:afterAutospacing="0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Проблема, заявленная в выпускной квалификационной работе, не является актуальной.</w:t>
      </w:r>
      <w:r/>
    </w:p>
    <w:p>
      <w:pPr>
        <w:pStyle w:val="742"/>
        <w:numPr>
          <w:ilvl w:val="0"/>
          <w:numId w:val="26"/>
        </w:numPr>
        <w:ind w:left="0" w:firstLine="567"/>
        <w:jc w:val="both"/>
        <w:tabs>
          <w:tab w:val="left" w:pos="992" w:leader="none"/>
        </w:tabs>
        <w:rPr>
          <w:sz w:val="28"/>
          <w:szCs w:val="28"/>
        </w:rPr>
      </w:pPr>
      <w:r>
        <w:rPr>
          <w:color w:val="000000"/>
          <w:sz w:val="28"/>
          <w:szCs w:val="27"/>
        </w:rPr>
        <w:t xml:space="preserve">Содержание работы не соответствует заявленной теме.</w:t>
      </w:r>
      <w:r/>
    </w:p>
    <w:p>
      <w:pPr>
        <w:pStyle w:val="922"/>
        <w:numPr>
          <w:ilvl w:val="0"/>
          <w:numId w:val="26"/>
        </w:numPr>
        <w:ind w:left="0" w:firstLine="567"/>
        <w:jc w:val="both"/>
        <w:spacing w:before="0" w:beforeAutospacing="0" w:after="0" w:afterAutospacing="0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Студент </w:t>
      </w:r>
      <w:r>
        <w:rPr>
          <w:rStyle w:val="919"/>
          <w:sz w:val="28"/>
          <w:szCs w:val="28"/>
        </w:rPr>
        <w:t xml:space="preserve">не владеет </w:t>
      </w:r>
      <w:r>
        <w:rPr>
          <w:sz w:val="28"/>
          <w:szCs w:val="28"/>
        </w:rPr>
        <w:t xml:space="preserve">теоретическим и эмпирическим материалом по теме исследования, не </w:t>
      </w:r>
      <w:r>
        <w:rPr>
          <w:color w:val="000000"/>
          <w:sz w:val="28"/>
          <w:szCs w:val="27"/>
        </w:rPr>
        <w:t xml:space="preserve">отвечает на вопросы </w:t>
      </w:r>
      <w:r>
        <w:rPr>
          <w:sz w:val="28"/>
          <w:szCs w:val="28"/>
        </w:rPr>
        <w:t xml:space="preserve">членов ГЭК.</w:t>
      </w:r>
      <w:r/>
    </w:p>
    <w:p>
      <w:pPr>
        <w:pStyle w:val="742"/>
        <w:numPr>
          <w:ilvl w:val="0"/>
          <w:numId w:val="26"/>
        </w:numPr>
        <w:ind w:left="0" w:firstLine="567"/>
        <w:jc w:val="both"/>
        <w:tabs>
          <w:tab w:val="left" w:pos="992" w:leader="none"/>
        </w:tabs>
        <w:rPr>
          <w:sz w:val="28"/>
          <w:szCs w:val="28"/>
        </w:rPr>
      </w:pPr>
      <w:r>
        <w:rPr>
          <w:color w:val="000000"/>
          <w:sz w:val="28"/>
          <w:szCs w:val="27"/>
        </w:rPr>
        <w:t xml:space="preserve">Теоретический и эмпирический материал для анализа имеет недостаточный объем и не позволяет сформулировать выводы.</w:t>
      </w:r>
      <w:r/>
    </w:p>
    <w:p>
      <w:pPr>
        <w:pStyle w:val="922"/>
        <w:numPr>
          <w:ilvl w:val="0"/>
          <w:numId w:val="26"/>
        </w:numPr>
        <w:ind w:left="0" w:firstLine="567"/>
        <w:jc w:val="both"/>
        <w:spacing w:before="0" w:beforeAutospacing="0" w:after="0" w:afterAutospacing="0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Выступление на защите выпускной квалификационной работы  не структурировано, </w:t>
      </w:r>
      <w:r>
        <w:rPr>
          <w:color w:val="000000"/>
          <w:sz w:val="28"/>
          <w:szCs w:val="27"/>
        </w:rPr>
        <w:t xml:space="preserve">неубедительно, непоследовательно, нелогично</w:t>
      </w:r>
      <w:r>
        <w:rPr>
          <w:sz w:val="28"/>
          <w:szCs w:val="28"/>
        </w:rPr>
        <w:t xml:space="preserve">.</w:t>
      </w:r>
      <w:r/>
    </w:p>
    <w:p>
      <w:pPr>
        <w:pStyle w:val="922"/>
        <w:numPr>
          <w:ilvl w:val="0"/>
          <w:numId w:val="26"/>
        </w:numPr>
        <w:ind w:left="0" w:firstLine="567"/>
        <w:jc w:val="both"/>
        <w:spacing w:before="0" w:beforeAutospacing="0" w:after="0" w:afterAutospacing="0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раздаточный материал, мультимедийная презентация.</w:t>
      </w:r>
      <w:r/>
    </w:p>
    <w:p>
      <w:pPr>
        <w:pStyle w:val="922"/>
        <w:numPr>
          <w:ilvl w:val="0"/>
          <w:numId w:val="26"/>
        </w:numPr>
        <w:ind w:left="0" w:firstLine="567"/>
        <w:jc w:val="both"/>
        <w:spacing w:before="0" w:beforeAutospacing="0" w:after="0" w:afterAutospacing="0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Структура и оформление выпускной квалификационной работы не соответствуют установленным требованиям, имеются серьезные недочеты и замечания:</w:t>
      </w:r>
      <w:r/>
    </w:p>
    <w:p>
      <w:pPr>
        <w:pStyle w:val="742"/>
        <w:numPr>
          <w:ilvl w:val="0"/>
          <w:numId w:val="25"/>
        </w:numPr>
        <w:ind w:left="0" w:firstLine="567"/>
        <w:jc w:val="both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 цитировании и оформлении ссылок; </w:t>
      </w:r>
      <w:r/>
    </w:p>
    <w:p>
      <w:pPr>
        <w:pStyle w:val="742"/>
        <w:numPr>
          <w:ilvl w:val="0"/>
          <w:numId w:val="25"/>
        </w:numPr>
        <w:ind w:left="0" w:firstLine="567"/>
        <w:jc w:val="both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некорректного заимствования (наличие переписывания источников с «расковычиванием», без ссылок на автора, первоисточник) составляющего от 20-30% и более от общего текста работы;</w:t>
      </w:r>
      <w:r/>
    </w:p>
    <w:p>
      <w:pPr>
        <w:pStyle w:val="742"/>
        <w:numPr>
          <w:ilvl w:val="0"/>
          <w:numId w:val="25"/>
        </w:numPr>
        <w:ind w:left="0" w:firstLine="567"/>
        <w:jc w:val="both"/>
        <w:tabs>
          <w:tab w:val="left" w:pos="992" w:leader="none"/>
        </w:tabs>
        <w:rPr>
          <w:sz w:val="28"/>
          <w:szCs w:val="28"/>
        </w:rPr>
      </w:pPr>
      <w:r>
        <w:rPr>
          <w:color w:val="000000"/>
          <w:sz w:val="28"/>
          <w:szCs w:val="27"/>
        </w:rPr>
        <w:t xml:space="preserve">работа опирается лишь на Интернет-источники;</w:t>
      </w:r>
      <w:r/>
    </w:p>
    <w:p>
      <w:pPr>
        <w:pStyle w:val="742"/>
        <w:numPr>
          <w:ilvl w:val="0"/>
          <w:numId w:val="25"/>
        </w:numPr>
        <w:ind w:left="0" w:firstLine="567"/>
        <w:jc w:val="both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количество проработанной литературы составляет менее 30 источников;</w:t>
      </w:r>
      <w:r/>
    </w:p>
    <w:p>
      <w:pPr>
        <w:pStyle w:val="742"/>
        <w:numPr>
          <w:ilvl w:val="0"/>
          <w:numId w:val="25"/>
        </w:numPr>
        <w:ind w:left="0" w:firstLine="567"/>
        <w:jc w:val="both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представлены зарубежные источники литературы.</w:t>
      </w:r>
      <w:r/>
    </w:p>
    <w:p>
      <w:pPr>
        <w:pStyle w:val="922"/>
        <w:numPr>
          <w:ilvl w:val="0"/>
          <w:numId w:val="26"/>
        </w:numPr>
        <w:ind w:left="0" w:firstLine="567"/>
        <w:jc w:val="both"/>
        <w:spacing w:before="0" w:beforeAutospacing="0" w:after="0" w:afterAutospacing="0"/>
        <w:tabs>
          <w:tab w:val="left" w:pos="99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Отзыв научного руководителя содержит ряд</w:t>
      </w:r>
      <w:r>
        <w:rPr>
          <w:rStyle w:val="919"/>
          <w:sz w:val="28"/>
          <w:szCs w:val="28"/>
        </w:rPr>
        <w:t xml:space="preserve"> принципиальных замечаний не позволяющий</w:t>
      </w:r>
      <w:r>
        <w:rPr>
          <w:rStyle w:val="919"/>
          <w:sz w:val="28"/>
          <w:szCs w:val="28"/>
        </w:rPr>
        <w:t xml:space="preserve"> положительно оценить ВКР.</w:t>
      </w:r>
      <w:r/>
    </w:p>
    <w:p>
      <w:pPr>
        <w:ind w:firstLine="567"/>
        <w:jc w:val="both"/>
        <w:tabs>
          <w:tab w:val="left" w:pos="992" w:leader="none"/>
        </w:tabs>
        <w:rPr>
          <w:color w:val="000000"/>
          <w:sz w:val="28"/>
          <w:szCs w:val="27"/>
        </w:rPr>
      </w:pPr>
      <w:r>
        <w:rPr>
          <w:rStyle w:val="919"/>
          <w:sz w:val="28"/>
          <w:szCs w:val="28"/>
        </w:rPr>
        <w:t xml:space="preserve">Оценки объявляются в день защиты выпускной квалификационной работы бакалавра после оформления в установленном порядке протокола заседания комиссии (ГЭК).</w:t>
      </w:r>
      <w:r/>
    </w:p>
    <w:p>
      <w:pPr>
        <w:ind w:firstLine="397"/>
        <w:jc w:val="right"/>
        <w:widowControl/>
        <w:rPr>
          <w:color w:val="000000"/>
          <w:sz w:val="28"/>
          <w:szCs w:val="27"/>
        </w:rPr>
        <w:sectPr>
          <w:footnotePr/>
          <w:endnotePr/>
          <w:type w:val="nextPage"/>
          <w:pgSz w:w="11906" w:h="16838" w:orient="portrait"/>
          <w:pgMar w:top="1134" w:right="850" w:bottom="1134" w:left="1701" w:header="708" w:footer="708" w:gutter="0"/>
          <w:cols w:num="1" w:sep="0" w:space="708" w:equalWidth="1"/>
          <w:docGrid w:linePitch="360"/>
        </w:sectPr>
      </w:pPr>
      <w:r>
        <w:rPr>
          <w:color w:val="000000"/>
          <w:sz w:val="28"/>
          <w:szCs w:val="27"/>
        </w:rPr>
      </w:r>
      <w:r/>
    </w:p>
    <w:p>
      <w:pPr>
        <w:ind w:firstLine="397"/>
        <w:jc w:val="right"/>
        <w:widowControl/>
        <w:rPr>
          <w:b/>
          <w:sz w:val="28"/>
          <w:szCs w:val="28"/>
        </w:rPr>
        <w:outlineLvl w:val="0"/>
      </w:pPr>
      <w:r/>
      <w:bookmarkStart w:id="23" w:name="_Toc156137937"/>
      <w:r>
        <w:rPr>
          <w:b/>
          <w:sz w:val="28"/>
          <w:szCs w:val="28"/>
        </w:rPr>
        <w:t xml:space="preserve">Приложение 1</w:t>
      </w:r>
      <w:bookmarkEnd w:id="23"/>
      <w:r/>
      <w:r/>
    </w:p>
    <w:p>
      <w:pPr>
        <w:pStyle w:val="924"/>
        <w:rPr>
          <w:sz w:val="28"/>
          <w:lang w:val="ru-RU"/>
        </w:rPr>
      </w:pPr>
      <w:r>
        <w:rPr>
          <w:sz w:val="28"/>
          <w:lang w:val="ru-RU"/>
        </w:rPr>
        <w:t xml:space="preserve">Министерство науки </w:t>
      </w:r>
      <w:r>
        <w:rPr>
          <w:sz w:val="28"/>
          <w:lang w:val="ru-RU"/>
        </w:rPr>
        <w:t xml:space="preserve">и высшего </w:t>
      </w:r>
      <w:r>
        <w:rPr>
          <w:sz w:val="28"/>
          <w:lang w:val="ru-RU"/>
        </w:rPr>
        <w:t xml:space="preserve">образования РФ</w:t>
      </w:r>
      <w:r/>
    </w:p>
    <w:p>
      <w:pPr>
        <w:pStyle w:val="924"/>
        <w:rPr>
          <w:sz w:val="28"/>
          <w:lang w:val="ru-RU"/>
        </w:rPr>
      </w:pPr>
      <w:r>
        <w:rPr>
          <w:sz w:val="28"/>
          <w:lang w:val="ru-RU"/>
        </w:rPr>
        <w:t xml:space="preserve">ФГБОУ ВО «Тверской государственный университет»</w:t>
      </w:r>
      <w:r/>
    </w:p>
    <w:p>
      <w:pPr>
        <w:pStyle w:val="924"/>
        <w:rPr>
          <w:sz w:val="28"/>
          <w:lang w:val="ru-RU"/>
        </w:rPr>
      </w:pPr>
      <w:r>
        <w:rPr>
          <w:sz w:val="28"/>
          <w:lang w:val="ru-RU"/>
        </w:rPr>
        <w:t xml:space="preserve">Факультет психологии </w:t>
      </w:r>
      <w:r/>
    </w:p>
    <w:p>
      <w:pPr>
        <w:pStyle w:val="924"/>
        <w:rPr>
          <w:sz w:val="28"/>
          <w:lang w:val="ru-RU"/>
        </w:rPr>
      </w:pPr>
      <w:r>
        <w:rPr>
          <w:sz w:val="28"/>
          <w:lang w:val="ru-RU"/>
        </w:rPr>
        <w:t xml:space="preserve">Направление </w:t>
      </w:r>
      <w:r>
        <w:rPr>
          <w:sz w:val="28"/>
          <w:lang w:val="ru-RU"/>
        </w:rPr>
        <w:t xml:space="preserve">37.03.01 </w:t>
      </w:r>
      <w:r>
        <w:rPr>
          <w:sz w:val="28"/>
          <w:lang w:val="ru-RU"/>
        </w:rPr>
        <w:t xml:space="preserve">Психология</w:t>
      </w:r>
      <w:r/>
    </w:p>
    <w:p>
      <w:pPr>
        <w:pStyle w:val="924"/>
        <w:rPr>
          <w:sz w:val="28"/>
          <w:lang w:val="ru-RU"/>
        </w:rPr>
      </w:pPr>
      <w:r>
        <w:rPr>
          <w:sz w:val="28"/>
          <w:lang w:val="ru-RU"/>
        </w:rPr>
        <w:t xml:space="preserve">Профиль «Организационная психология»</w:t>
      </w:r>
      <w:r/>
    </w:p>
    <w:p>
      <w:r/>
      <w:r/>
    </w:p>
    <w:p>
      <w:r/>
      <w:r/>
    </w:p>
    <w:p>
      <w:r/>
      <w:r/>
    </w:p>
    <w:p>
      <w:r/>
      <w:r/>
    </w:p>
    <w:p>
      <w:pPr>
        <w:pStyle w:val="924"/>
        <w:rPr>
          <w:lang w:val="ru-RU"/>
        </w:rPr>
      </w:pPr>
      <w:r>
        <w:rPr>
          <w:lang w:val="ru-RU"/>
        </w:rPr>
      </w:r>
      <w:r/>
    </w:p>
    <w:p>
      <w:pPr>
        <w:pStyle w:val="924"/>
        <w:rPr>
          <w:lang w:val="ru-RU"/>
        </w:rPr>
      </w:pPr>
      <w:r>
        <w:rPr>
          <w:lang w:val="ru-RU"/>
        </w:rPr>
      </w:r>
      <w:r/>
    </w:p>
    <w:p>
      <w:pPr>
        <w:pStyle w:val="924"/>
        <w:rPr>
          <w:caps/>
          <w:sz w:val="28"/>
          <w:szCs w:val="28"/>
          <w:lang w:val="ru-RU"/>
        </w:rPr>
      </w:pPr>
      <w:r>
        <w:rPr>
          <w:caps/>
          <w:sz w:val="28"/>
          <w:szCs w:val="28"/>
          <w:lang w:val="ru-RU"/>
        </w:rPr>
        <w:t xml:space="preserve">Выпускная квалификационная работа </w:t>
      </w:r>
      <w:r/>
    </w:p>
    <w:p>
      <w:pPr>
        <w:pStyle w:val="92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(</w:t>
      </w:r>
      <w:r>
        <w:rPr>
          <w:sz w:val="28"/>
          <w:szCs w:val="28"/>
          <w:lang w:val="ru-RU"/>
        </w:rPr>
        <w:t xml:space="preserve">ВЫПУСКНАЯ РАБОТА БАКАЛАВРА</w:t>
      </w:r>
      <w:r>
        <w:rPr>
          <w:sz w:val="28"/>
          <w:szCs w:val="28"/>
          <w:lang w:val="ru-RU"/>
        </w:rPr>
        <w:t xml:space="preserve">)</w:t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11"/>
        <w:jc w:val="center"/>
        <w:spacing w:after="0" w:line="240" w:lineRule="auto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Копинг-стратегии персонала как способ преодоления профессионального стресса</w:t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0" w:type="auto"/>
        <w:tblInd w:w="4928" w:type="dxa"/>
        <w:tblLayout w:type="fixed"/>
        <w:tblLook w:val="04A0" w:firstRow="1" w:lastRow="0" w:firstColumn="1" w:lastColumn="0" w:noHBand="0" w:noVBand="1"/>
      </w:tblPr>
      <w:tblGrid>
        <w:gridCol w:w="4358"/>
      </w:tblGrid>
      <w:tr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358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Автор:</w:t>
            </w:r>
            <w:r/>
          </w:p>
        </w:tc>
      </w:tr>
      <w:tr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358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Ф.И.О.</w:t>
            </w:r>
            <w:r/>
          </w:p>
        </w:tc>
      </w:tr>
      <w:tr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358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Подпись:</w:t>
            </w:r>
            <w:r/>
          </w:p>
        </w:tc>
      </w:tr>
    </w:tbl>
    <w:p>
      <w:pPr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0" w:type="auto"/>
        <w:tblInd w:w="4928" w:type="dxa"/>
        <w:tblLayout w:type="fixed"/>
        <w:tblLook w:val="04A0" w:firstRow="1" w:lastRow="0" w:firstColumn="1" w:lastColumn="0" w:noHBand="0" w:noVBand="1"/>
      </w:tblPr>
      <w:tblGrid>
        <w:gridCol w:w="4358"/>
      </w:tblGrid>
      <w:tr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358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Научный руководитель:</w:t>
            </w:r>
            <w:r/>
          </w:p>
        </w:tc>
      </w:tr>
      <w:tr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358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ученая степень, звание,</w:t>
            </w:r>
            <w:r/>
          </w:p>
        </w:tc>
      </w:tr>
      <w:tr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358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Ф.И.О.</w:t>
            </w:r>
            <w:r/>
          </w:p>
        </w:tc>
      </w:tr>
      <w:tr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358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Подпись:</w:t>
            </w:r>
            <w:r/>
          </w:p>
        </w:tc>
      </w:tr>
    </w:tbl>
    <w:p>
      <w:pPr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spacing w:before="12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spacing w:before="12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spacing w:before="12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Допущен (а) к защите:</w:t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Руководитель ООП:</w:t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 Л.А. Становова</w:t>
      </w:r>
      <w:r/>
    </w:p>
    <w:p>
      <w:r>
        <w:t xml:space="preserve">(подпись, дата)</w:t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left="3540" w:firstLine="708"/>
        <w:rPr>
          <w:sz w:val="24"/>
        </w:rPr>
      </w:pPr>
      <w:r>
        <w:rPr>
          <w:sz w:val="24"/>
        </w:rPr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ind w:firstLine="397"/>
        <w:jc w:val="center"/>
        <w:widowControl/>
        <w:rPr>
          <w:sz w:val="28"/>
          <w:szCs w:val="28"/>
        </w:rPr>
      </w:pPr>
      <w:r>
        <w:rPr>
          <w:sz w:val="28"/>
          <w:szCs w:val="28"/>
        </w:rPr>
        <w:t xml:space="preserve">Тверь 202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/>
    </w:p>
    <w:p>
      <w:pPr>
        <w:jc w:val="right"/>
        <w:spacing w:line="360" w:lineRule="auto"/>
        <w:tabs>
          <w:tab w:val="left" w:pos="585" w:leader="none"/>
          <w:tab w:val="right" w:pos="9355" w:leader="none"/>
        </w:tabs>
        <w:rPr>
          <w:b/>
          <w:sz w:val="28"/>
          <w:szCs w:val="28"/>
        </w:rPr>
        <w:sectPr>
          <w:footnotePr/>
          <w:endnotePr/>
          <w:type w:val="nextPage"/>
          <w:pgSz w:w="11906" w:h="16838" w:orient="portrait"/>
          <w:pgMar w:top="1134" w:right="850" w:bottom="1134" w:left="1701" w:header="708" w:footer="708" w:gutter="0"/>
          <w:cols w:num="1" w:sep="0" w:space="708" w:equalWidth="1"/>
          <w:docGrid w:linePitch="360"/>
        </w:sectPr>
      </w:pPr>
      <w:r>
        <w:rPr>
          <w:b/>
          <w:sz w:val="28"/>
          <w:szCs w:val="28"/>
        </w:rPr>
      </w:r>
      <w:r/>
    </w:p>
    <w:p>
      <w:pPr>
        <w:jc w:val="right"/>
        <w:spacing w:line="360" w:lineRule="auto"/>
        <w:tabs>
          <w:tab w:val="left" w:pos="585" w:leader="none"/>
          <w:tab w:val="right" w:pos="9355" w:leader="none"/>
        </w:tabs>
        <w:rPr>
          <w:b/>
          <w:sz w:val="28"/>
          <w:szCs w:val="28"/>
        </w:rPr>
        <w:outlineLvl w:val="0"/>
      </w:pPr>
      <w:r/>
      <w:bookmarkStart w:id="24" w:name="_Toc156137938"/>
      <w:r>
        <w:rPr>
          <w:b/>
          <w:sz w:val="28"/>
          <w:szCs w:val="28"/>
        </w:rPr>
        <w:t xml:space="preserve">Приложение 2.</w:t>
      </w:r>
      <w:bookmarkEnd w:id="24"/>
      <w:r>
        <w:rPr>
          <w:b/>
          <w:sz w:val="28"/>
          <w:szCs w:val="28"/>
        </w:rPr>
        <w:t xml:space="preserve"> </w:t>
      </w:r>
      <w:r/>
    </w:p>
    <w:p>
      <w:pPr>
        <w:jc w:val="center"/>
        <w:spacing w:line="360" w:lineRule="auto"/>
        <w:tabs>
          <w:tab w:val="left" w:pos="585" w:leader="none"/>
          <w:tab w:val="right" w:pos="935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Оформление содержания выпускной квалификационной работы</w:t>
      </w:r>
      <w:r/>
    </w:p>
    <w:p>
      <w:pPr>
        <w:jc w:val="center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Содержание</w:t>
      </w:r>
      <w:r/>
    </w:p>
    <w:p>
      <w:pPr>
        <w:spacing w:line="360" w:lineRule="auto"/>
      </w:pPr>
      <w:r>
        <w:rPr>
          <w:sz w:val="28"/>
          <w:szCs w:val="28"/>
        </w:rPr>
        <w:t xml:space="preserve">Введение…………………………………………………………………...………3</w:t>
      </w:r>
      <w:r/>
    </w:p>
    <w:p>
      <w:pPr>
        <w:spacing w:line="360" w:lineRule="auto"/>
      </w:pPr>
      <w:r>
        <w:rPr>
          <w:sz w:val="28"/>
          <w:szCs w:val="28"/>
        </w:rPr>
        <w:t xml:space="preserve">Глава </w:t>
      </w:r>
      <w:r>
        <w:rPr>
          <w:sz w:val="28"/>
          <w:szCs w:val="28"/>
          <w:lang w:val="en-US"/>
        </w:rPr>
        <w:t xml:space="preserve">I</w:t>
      </w:r>
      <w:r>
        <w:rPr>
          <w:sz w:val="28"/>
          <w:szCs w:val="28"/>
        </w:rPr>
        <w:t xml:space="preserve">. Теоретико-методологические основы исследования копинг-стратегий персонала как способа преодоления профессионального стресса…………….9</w:t>
      </w:r>
      <w:r/>
    </w:p>
    <w:p>
      <w:pPr>
        <w:spacing w:line="360" w:lineRule="auto"/>
      </w:pPr>
      <w:r>
        <w:rPr>
          <w:sz w:val="28"/>
          <w:szCs w:val="28"/>
        </w:rPr>
        <w:t xml:space="preserve">1.1. Теоретические подходы к рассмотрению понятия копинг-стратегий……9</w:t>
      </w:r>
      <w:r/>
    </w:p>
    <w:p>
      <w:pPr>
        <w:spacing w:line="360" w:lineRule="auto"/>
      </w:pPr>
      <w:r>
        <w:rPr>
          <w:sz w:val="28"/>
          <w:szCs w:val="28"/>
        </w:rPr>
        <w:t xml:space="preserve">1.2. Классификации копинг-стратегий…………………………………………14</w:t>
      </w:r>
      <w:r/>
    </w:p>
    <w:p>
      <w:pPr>
        <w:spacing w:line="360" w:lineRule="auto"/>
      </w:pPr>
      <w:r>
        <w:rPr>
          <w:sz w:val="28"/>
          <w:szCs w:val="28"/>
        </w:rPr>
        <w:t xml:space="preserve">1.3. Понятие «стресс», основные стадии и проявления стресса….…………..18</w:t>
      </w:r>
      <w:r/>
    </w:p>
    <w:p>
      <w:pPr>
        <w:spacing w:line="360" w:lineRule="auto"/>
      </w:pPr>
      <w:r>
        <w:rPr>
          <w:sz w:val="28"/>
          <w:szCs w:val="28"/>
        </w:rPr>
        <w:t xml:space="preserve">1.4. Понятие «профессиональный стресс» и его проявления……….………...21</w:t>
      </w:r>
      <w:r/>
    </w:p>
    <w:p>
      <w:pPr>
        <w:spacing w:line="360" w:lineRule="auto"/>
      </w:pPr>
      <w:r>
        <w:rPr>
          <w:sz w:val="28"/>
          <w:szCs w:val="28"/>
        </w:rPr>
        <w:t xml:space="preserve">1.5. Способы преодоления профессионального стресса………………………27</w:t>
      </w:r>
      <w:r/>
    </w:p>
    <w:p>
      <w:pPr>
        <w:spacing w:line="360" w:lineRule="auto"/>
      </w:pPr>
      <w:r>
        <w:rPr>
          <w:sz w:val="28"/>
          <w:szCs w:val="28"/>
        </w:rPr>
        <w:t xml:space="preserve">1.6. Копинг-стратегии как способ преодоления профессионального стресса…………………………………………………………………………….31Выводы по главе 1……………………………………………………………….34</w:t>
      </w:r>
      <w:r/>
    </w:p>
    <w:p>
      <w:pPr>
        <w:spacing w:line="360" w:lineRule="auto"/>
      </w:pPr>
      <w:r>
        <w:rPr>
          <w:sz w:val="28"/>
          <w:szCs w:val="28"/>
        </w:rPr>
        <w:t xml:space="preserve">Глава </w:t>
      </w:r>
      <w:r>
        <w:rPr>
          <w:sz w:val="28"/>
          <w:szCs w:val="28"/>
          <w:lang w:val="en-US"/>
        </w:rPr>
        <w:t xml:space="preserve">II</w:t>
      </w:r>
      <w:r>
        <w:rPr>
          <w:sz w:val="28"/>
          <w:szCs w:val="28"/>
        </w:rPr>
        <w:t xml:space="preserve">. Эмпирическое исследование копинг-стратегий персонала как способа преодоления профессионального стресса……………………………36</w:t>
      </w:r>
      <w:r/>
    </w:p>
    <w:p>
      <w:pPr>
        <w:spacing w:line="360" w:lineRule="auto"/>
      </w:pPr>
      <w:r>
        <w:rPr>
          <w:sz w:val="28"/>
          <w:szCs w:val="28"/>
        </w:rPr>
        <w:t xml:space="preserve">2.1. Программа эмпирического исследования………………………………...36</w:t>
      </w:r>
      <w:r/>
    </w:p>
    <w:p>
      <w:pPr>
        <w:spacing w:line="360" w:lineRule="auto"/>
      </w:pPr>
      <w:r>
        <w:rPr>
          <w:sz w:val="28"/>
          <w:szCs w:val="28"/>
        </w:rPr>
        <w:t xml:space="preserve">2.2. Описание и анализ результатов эмпирического исследования копинг-стратегий и профессионального стресса персонала…………………………..41</w:t>
      </w:r>
      <w:r/>
    </w:p>
    <w:p>
      <w:pPr>
        <w:spacing w:line="360" w:lineRule="auto"/>
      </w:pPr>
      <w:r>
        <w:rPr>
          <w:sz w:val="28"/>
          <w:szCs w:val="28"/>
        </w:rPr>
        <w:t xml:space="preserve">2.3. Анализ и интерпретация взаимосвязи копинг-стратегий персонала с уровнем их профессионального стресса……………………………………….53</w:t>
      </w:r>
      <w:r/>
    </w:p>
    <w:p>
      <w:pPr>
        <w:spacing w:line="360" w:lineRule="auto"/>
      </w:pPr>
      <w:r>
        <w:rPr>
          <w:sz w:val="28"/>
          <w:szCs w:val="28"/>
        </w:rPr>
        <w:t xml:space="preserve">2.4. Рекомендации по использованию копинг-стратегий персоналом в целях снижения профессионального стресса…………………………………………57</w:t>
      </w:r>
      <w:r/>
    </w:p>
    <w:p>
      <w:pPr>
        <w:spacing w:line="360" w:lineRule="auto"/>
      </w:pPr>
      <w:r>
        <w:rPr>
          <w:sz w:val="28"/>
          <w:szCs w:val="28"/>
        </w:rPr>
        <w:t xml:space="preserve">Выводы по главе 2……………………………………………………………….61</w:t>
      </w:r>
      <w:r/>
    </w:p>
    <w:p>
      <w:pPr>
        <w:spacing w:line="360" w:lineRule="auto"/>
      </w:pPr>
      <w:r>
        <w:rPr>
          <w:sz w:val="28"/>
          <w:szCs w:val="28"/>
        </w:rPr>
        <w:t xml:space="preserve">Заключение……………………………………………………………………….63</w:t>
      </w:r>
      <w:r/>
    </w:p>
    <w:p>
      <w:pPr>
        <w:spacing w:line="360" w:lineRule="auto"/>
      </w:pPr>
      <w:r>
        <w:rPr>
          <w:sz w:val="28"/>
          <w:szCs w:val="28"/>
        </w:rPr>
        <w:t xml:space="preserve">Список литературы………………………………………………………………66</w:t>
      </w:r>
      <w:r/>
    </w:p>
    <w:p>
      <w:pPr>
        <w:jc w:val="both"/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Приложения </w:t>
      </w:r>
      <w:r>
        <w:rPr>
          <w:sz w:val="28"/>
          <w:szCs w:val="28"/>
        </w:rPr>
        <w:br w:type="page" w:clear="all"/>
      </w:r>
      <w:r/>
    </w:p>
    <w:p>
      <w:pPr>
        <w:ind w:firstLine="397"/>
        <w:jc w:val="right"/>
        <w:widowControl/>
        <w:rPr>
          <w:b/>
          <w:sz w:val="28"/>
          <w:szCs w:val="28"/>
        </w:rPr>
        <w:outlineLvl w:val="0"/>
      </w:pPr>
      <w:r/>
      <w:bookmarkStart w:id="25" w:name="_Toc156137939"/>
      <w:r>
        <w:rPr>
          <w:b/>
          <w:sz w:val="28"/>
          <w:szCs w:val="28"/>
        </w:rPr>
        <w:t xml:space="preserve">Приложение 3.</w:t>
      </w:r>
      <w:bookmarkEnd w:id="25"/>
      <w:r>
        <w:rPr>
          <w:b/>
          <w:sz w:val="28"/>
          <w:szCs w:val="28"/>
        </w:rPr>
        <w:t xml:space="preserve"> </w:t>
      </w:r>
      <w:r/>
    </w:p>
    <w:p>
      <w:pPr>
        <w:jc w:val="center"/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Образцы оформления списка литературы</w:t>
      </w:r>
      <w:r/>
    </w:p>
    <w:p>
      <w:pPr>
        <w:ind w:right="-8"/>
        <w:jc w:val="both"/>
        <w:tabs>
          <w:tab w:val="left" w:pos="6120" w:leader="none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Список литературы формируется в алфавитном порядке (с помощью меню: таблица/сортировка) и нумеруется по возрастанию.</w:t>
      </w:r>
      <w:r/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firstLine="72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Пример 1: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Даль В. И. Толковый словарь живого великорусского языка Владимира Даля [Электронный ресурс ] / В. И. Даль : подгот. по 2-му печ. изд. 1880-1882 гг. – Электрон. дан. – М.: АСТ, 1998. – 1 электрон. опт. диск (</w:t>
      </w:r>
      <w:r>
        <w:rPr>
          <w:sz w:val="28"/>
          <w:szCs w:val="28"/>
          <w:lang w:val="en-US"/>
        </w:rPr>
        <w:t xml:space="preserve">CD</w:t>
      </w:r>
      <w:r>
        <w:rPr>
          <w:sz w:val="28"/>
          <w:szCs w:val="28"/>
        </w:rPr>
        <w:t xml:space="preserve">-</w:t>
      </w:r>
      <w:r>
        <w:rPr>
          <w:sz w:val="28"/>
          <w:szCs w:val="28"/>
          <w:lang w:val="en-US"/>
        </w:rPr>
        <w:t xml:space="preserve">ROM</w:t>
      </w:r>
      <w:r>
        <w:rPr>
          <w:sz w:val="28"/>
          <w:szCs w:val="28"/>
        </w:rPr>
        <w:t xml:space="preserve">) ; 12 см + рук. пользователя (8 с.)</w:t>
      </w:r>
      <w:r/>
    </w:p>
    <w:p>
      <w:pPr>
        <w:ind w:firstLine="72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Пример </w:t>
      </w:r>
      <w:r>
        <w:rPr>
          <w:b/>
          <w:sz w:val="28"/>
          <w:szCs w:val="28"/>
          <w:u w:val="single"/>
          <w:lang w:val="en-US"/>
        </w:rPr>
        <w:t xml:space="preserve">2</w:t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i/>
          <w:sz w:val="28"/>
          <w:szCs w:val="28"/>
          <w:u w:val="single"/>
        </w:rPr>
        <w:t xml:space="preserve">(Оформление электронного ресурса):</w:t>
      </w:r>
      <w:r/>
    </w:p>
    <w:p>
      <w:pPr>
        <w:numPr>
          <w:ilvl w:val="0"/>
          <w:numId w:val="11"/>
        </w:numPr>
        <w:ind w:left="0" w:firstLine="720"/>
        <w:jc w:val="both"/>
        <w:widowControl/>
        <w:rPr>
          <w:sz w:val="28"/>
          <w:szCs w:val="28"/>
        </w:rPr>
      </w:pPr>
      <w:r>
        <w:rPr>
          <w:sz w:val="28"/>
          <w:szCs w:val="28"/>
        </w:rPr>
        <w:t xml:space="preserve">О трудоустройстве выпускников английских университетов [Электронный ресурс]. – Режим доступа: </w:t>
      </w:r>
      <w:r>
        <w:rPr>
          <w:sz w:val="28"/>
          <w:szCs w:val="28"/>
          <w:lang w:val="en-US"/>
        </w:rPr>
        <w:t xml:space="preserve">http</w:t>
      </w:r>
      <w:r>
        <w:rPr>
          <w:sz w:val="28"/>
          <w:szCs w:val="28"/>
        </w:rPr>
        <w:t xml:space="preserve">:// www.hefce.ac.uk/Learning/Perfind/. – Загл. с экрана.</w:t>
      </w:r>
      <w:r/>
    </w:p>
    <w:p>
      <w:pPr>
        <w:numPr>
          <w:ilvl w:val="0"/>
          <w:numId w:val="11"/>
        </w:numPr>
        <w:ind w:left="0" w:firstLine="720"/>
        <w:jc w:val="both"/>
        <w:widowControl/>
        <w:rPr>
          <w:sz w:val="28"/>
          <w:szCs w:val="28"/>
        </w:rPr>
      </w:pPr>
      <w:r>
        <w:rPr>
          <w:sz w:val="28"/>
          <w:szCs w:val="28"/>
        </w:rPr>
        <w:t xml:space="preserve">Науки о человеке и обществе [Электронный ресурс]: аннот. список книг. – Режим доступа: http://www.rfbr.ru. – Загл. с экрана.</w:t>
      </w:r>
      <w:r/>
    </w:p>
    <w:p>
      <w:pPr>
        <w:numPr>
          <w:ilvl w:val="0"/>
          <w:numId w:val="11"/>
        </w:numPr>
        <w:ind w:left="0" w:firstLine="720"/>
        <w:jc w:val="both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Open Sans" w:cs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Психология труда : учебник для вузов / Е. А. Климов [и др.] ; под редакцией Е. А. Климова, О. Г. Носковой. — 2-е изд., перераб. и доп. — Москва : Издательство Юрайт, 2023. — 308 с. — (Высшее образование). — ISBN 978-5-534-16233-2. — Текст : электронный // 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Образовательная платформа Юрайт [сайт]. — URL: </w:t>
      </w:r>
      <w:hyperlink r:id="rId11" w:tooltip="https://urait.ru/bcode/530652" w:history="1">
        <w:r>
          <w:rPr>
            <w:rStyle w:val="884"/>
            <w:rFonts w:ascii="Times New Roman" w:hAnsi="Times New Roman" w:eastAsia="Arial" w:cs="Times New Roman"/>
            <w:color w:val="486c97"/>
            <w:sz w:val="28"/>
            <w:szCs w:val="28"/>
            <w:highlight w:val="white"/>
          </w:rPr>
          <w:t xml:space="preserve">https://urait.ru/bcode/530652</w:t>
        </w:r>
      </w:hyperlink>
      <w:r>
        <w:rPr>
          <w:rFonts w:ascii="Times New Roman" w:hAnsi="Times New Roman" w:eastAsia="Open Sans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2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Пример 3: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Айзенк Г. Ю. Структура личности : [пер. с англ.] / Г. Ю. Айзенк. – М.: Ювента ; СПб. : КСП+, 1999. – 463 с.: ил. – (Теории личности).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Берн Э. Лидер и группа. О структуре и динамике организаций и групп: пер. с англ. / Э. Берн. – Екатеринбург: Литур, 2000. – 320 с.</w:t>
      </w:r>
      <w:r/>
    </w:p>
    <w:p>
      <w:pPr>
        <w:ind w:firstLine="720"/>
        <w:jc w:val="both"/>
        <w:rPr>
          <w:color w:val="000000" w:themeColor="text1"/>
          <w:sz w:val="32"/>
          <w:szCs w:val="32"/>
        </w:rPr>
      </w:pPr>
      <w:r>
        <w:rPr>
          <w:sz w:val="28"/>
          <w:szCs w:val="28"/>
        </w:rPr>
        <w:t xml:space="preserve">3. </w:t>
      </w:r>
      <w:r>
        <w:rPr>
          <w:rFonts w:eastAsia="Open Sans"/>
          <w:color w:val="000000" w:themeColor="text1"/>
          <w:sz w:val="28"/>
          <w:szCs w:val="22"/>
          <w:highlight w:val="white"/>
        </w:rPr>
        <w:t xml:space="preserve">Васильева И. В. Организационно-психологическая диагностика: учебное пособие / И. В. Васильева. — 3-е изд., стер. — Москва: ФЛИНТА, 2019. — 136 с.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Эриксон Э. Г. Де</w:t>
      </w:r>
      <w:r>
        <w:rPr>
          <w:sz w:val="28"/>
          <w:szCs w:val="28"/>
        </w:rPr>
        <w:t xml:space="preserve">тство и общество: пер. с англ. / Э. Г. Эриксон. – 2-е изд., перераб. и доп. – СПб. : Речь, 2000. – 416 с. – (Мастерская психологии и психотерапии).</w:t>
      </w:r>
      <w:r/>
    </w:p>
    <w:p>
      <w:pPr>
        <w:ind w:firstLine="720"/>
        <w:jc w:val="both"/>
        <w:rPr>
          <w:b/>
          <w:i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Пример 4</w:t>
      </w:r>
      <w:r>
        <w:rPr>
          <w:b/>
          <w:i/>
          <w:sz w:val="28"/>
          <w:szCs w:val="28"/>
          <w:u w:val="single"/>
        </w:rPr>
        <w:t xml:space="preserve"> (Вариант описания, когда на тит. листе обозначен автор перевода):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Блаттер К. Вейвлет-анализ. Основы теории: цифровая обраб. сигналов / К. Блаттер ; пер. с нем. Т. Э. Кренкеля ; под ред. А. Г. Кюркчана. – М.: Техносфера, 2004. – 273 с. : ил.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Гиппиус З. Н. Сочинения : в 2 т. / З. Н. Гиппиус ; [вступ. ст., подгот. текста и коммент. Т. Г. Юрченко ; Рос. акад. наук, Ин-т науч. информ. по обществ. наукам]. – М.: Лаком-книга : Габестро, 2001. – 2 т. – (Золотая проза серебряного века).</w:t>
      </w:r>
      <w:r/>
    </w:p>
    <w:p>
      <w:pPr>
        <w:ind w:firstLine="72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Пример 5 (</w:t>
      </w:r>
      <w:r>
        <w:rPr>
          <w:b/>
          <w:i/>
          <w:sz w:val="28"/>
          <w:szCs w:val="28"/>
          <w:u w:val="single"/>
        </w:rPr>
        <w:t xml:space="preserve">Вариант описания, когда у документа имеется 4  автора):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Экономика. Организация производства. Менеджмент (опыт, проблемы, перспективы) / К. Т. Джурабаев, В. А. Щербаков, А. В. Нестеров, Г. К. Джурабаева ; Новосиб. гос. техн. ун-т. – Новосибирск : Изд-во НГТУ, 2002. – 315 с.</w:t>
      </w:r>
      <w:r/>
    </w:p>
    <w:p>
      <w:pPr>
        <w:ind w:firstLine="720"/>
        <w:jc w:val="both"/>
        <w:rPr>
          <w:b/>
          <w:i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Пример 6 (</w:t>
      </w:r>
      <w:r>
        <w:rPr>
          <w:b/>
          <w:i/>
          <w:sz w:val="28"/>
          <w:szCs w:val="28"/>
          <w:u w:val="single"/>
        </w:rPr>
        <w:t xml:space="preserve">Вариант описания, когда авторов больше 4-х):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Начала христианской психологии : учеб. пособие для вузов / Б. С. Братусь и др. – М. : Наука, 1995. – 236 с. – (Программа «Обновление гуманитарного образования в России»).</w:t>
      </w:r>
      <w:r/>
    </w:p>
    <w:p>
      <w:pPr>
        <w:ind w:firstLine="720"/>
        <w:jc w:val="both"/>
        <w:rPr>
          <w:color w:val="000000" w:themeColor="text1"/>
          <w:sz w:val="32"/>
          <w:szCs w:val="32"/>
        </w:rPr>
      </w:pPr>
      <w:r>
        <w:rPr>
          <w:rFonts w:eastAsia="Open Sans"/>
          <w:color w:val="000000" w:themeColor="text1"/>
          <w:sz w:val="28"/>
          <w:szCs w:val="22"/>
          <w:highlight w:val="white"/>
        </w:rPr>
        <w:t xml:space="preserve">Организационная психология : учебник и практикум для вузов / Е. И. Рогов [и др.]; под общей редакцией Е. И. Рогова. — 3-е изд., перераб. и доп. — Москва : Издательство Юрайт, 2020. — 510 с. </w:t>
      </w:r>
      <w:r/>
    </w:p>
    <w:p>
      <w:pPr>
        <w:ind w:firstLine="720"/>
        <w:jc w:val="both"/>
        <w:rPr>
          <w:b/>
          <w:bCs/>
          <w:i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Пример 7 (</w:t>
      </w:r>
      <w:r>
        <w:rPr>
          <w:b/>
          <w:bCs/>
          <w:i/>
          <w:sz w:val="28"/>
          <w:szCs w:val="28"/>
          <w:u w:val="single"/>
        </w:rPr>
        <w:t xml:space="preserve">Вариант описания, когда есть составители):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Великие психологи / [сост.: С. И. Самыгин, Л. Д. Столяренко]. – Ростов н/Д. : Феникс, 2000. – 575 с. – (Исторические силуэты).</w:t>
      </w:r>
      <w:r/>
    </w:p>
    <w:p>
      <w:pPr>
        <w:ind w:firstLine="72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Пример 8 (</w:t>
      </w:r>
      <w:r>
        <w:rPr>
          <w:b/>
          <w:i/>
          <w:sz w:val="28"/>
          <w:szCs w:val="28"/>
          <w:u w:val="single"/>
        </w:rPr>
        <w:t xml:space="preserve">Варианты аналитического описания):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рекламного образа (имиджпроектирование) // Психология бизнеса : хрестоматия / сост. К.В. Сельчинок. – Минск : Харвест, 1998. – С. 47-85.</w:t>
      </w:r>
      <w:r/>
    </w:p>
    <w:p>
      <w:pPr>
        <w:ind w:firstLine="72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Пример 9 </w:t>
      </w:r>
      <w:r>
        <w:rPr>
          <w:b/>
          <w:i/>
          <w:sz w:val="28"/>
          <w:szCs w:val="28"/>
          <w:u w:val="single"/>
        </w:rPr>
        <w:t xml:space="preserve">(Вариант написания статьи из журнала):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Князев Г.Г. Краткая форма личностного опросника Грея-Уилсона / Г.Г. Князева, Е. Р. Слободская, М. В. Сафронова // Вопр. психологии. – 2004. – № 4. – С. 113-122.</w:t>
      </w:r>
      <w:r/>
    </w:p>
    <w:p>
      <w:pPr>
        <w:ind w:firstLine="72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Пример 10 (</w:t>
      </w:r>
      <w:r>
        <w:rPr>
          <w:b/>
          <w:i/>
          <w:sz w:val="28"/>
          <w:szCs w:val="28"/>
          <w:u w:val="single"/>
        </w:rPr>
        <w:t xml:space="preserve">Вариант описания диссертации):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Белозеров И.В. Адаптация пожилых людей к современной социальной ситуации: дис. … канд. псих. наук : 19.00.05 : защищена 22.01.02 : утв. 15.07.02 / Белозеров Иван Валентинович. – М., 2002. – 215 с. – Библиогр.: с. 202-213.</w:t>
      </w:r>
      <w:r/>
    </w:p>
    <w:p>
      <w:pPr>
        <w:ind w:firstLine="720"/>
        <w:jc w:val="both"/>
        <w:rPr>
          <w:b/>
          <w:i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Пример 11 (</w:t>
      </w:r>
      <w:r>
        <w:rPr>
          <w:b/>
          <w:i/>
          <w:sz w:val="28"/>
          <w:szCs w:val="28"/>
          <w:u w:val="single"/>
        </w:rPr>
        <w:t xml:space="preserve">Вариант описания автореферата диссертации):</w:t>
      </w:r>
      <w:r/>
    </w:p>
    <w:p>
      <w:pPr>
        <w:ind w:firstLine="720"/>
        <w:jc w:val="both"/>
        <w:rPr>
          <w:i/>
          <w:sz w:val="28"/>
          <w:szCs w:val="28"/>
        </w:rPr>
      </w:pPr>
      <w:r>
        <w:rPr>
          <w:iCs/>
          <w:sz w:val="28"/>
          <w:szCs w:val="28"/>
        </w:rPr>
        <w:t xml:space="preserve">Корнилов О.А. </w:t>
      </w:r>
      <w:r>
        <w:rPr>
          <w:iCs/>
          <w:sz w:val="28"/>
          <w:szCs w:val="28"/>
        </w:rPr>
        <w:t xml:space="preserve">Взаимосвязь ценностных ориентаций и склонности к девиантному поведению На примере этнических мигрантов и коренного населения Саратовской области: автореф. дис…д-ра псих. наук: 19.00.05 / О.А. Корнилов. – М., 2000. – 45 с. </w:t>
      </w:r>
      <w:r/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/>
    </w:p>
    <w:p>
      <w:pPr>
        <w:jc w:val="center"/>
        <w:spacing w:line="36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firstLine="720"/>
        <w:jc w:val="both"/>
      </w:pPr>
      <w:r/>
      <w:r/>
    </w:p>
    <w:p>
      <w:pPr>
        <w:jc w:val="both"/>
        <w:shd w:val="clear" w:color="auto" w:fill="ffffff"/>
        <w:tabs>
          <w:tab w:val="left" w:pos="655" w:leader="none"/>
        </w:tabs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</w:r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 Sans">
    <w:panose1 w:val="020B06060305040202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Segoe UI">
    <w:panose1 w:val="020B0502040204020203"/>
  </w:font>
  <w:font w:name="Cambria">
    <w:panose1 w:val="0204050305040603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5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 xml:space="preserve">2</w:t>
    </w:r>
    <w:r>
      <w:fldChar w:fldCharType="end"/>
    </w:r>
    <w:r/>
  </w:p>
  <w:p>
    <w:pPr>
      <w:pStyle w:val="754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">
    <w:multiLevelType w:val="hybridMultilevel"/>
    <w:lvl w:ilvl="0">
      <w:start w:val="1"/>
      <w:numFmt w:val="bullet"/>
      <w:pStyle w:val="907"/>
      <w:isLgl w:val="false"/>
      <w:suff w:val="tab"/>
      <w:lvlText w:val=""/>
      <w:lvlJc w:val="left"/>
      <w:pPr>
        <w:ind w:left="1077" w:hanging="357"/>
        <w:tabs>
          <w:tab w:val="num" w:pos="1077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35" w:hanging="375"/>
        <w:tabs>
          <w:tab w:val="num" w:pos="735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35" w:hanging="375"/>
        <w:tabs>
          <w:tab w:val="num" w:pos="735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95" w:hanging="495"/>
        <w:tabs>
          <w:tab w:val="num" w:pos="495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  <w:tabs>
          <w:tab w:val="num" w:pos="72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  <w:tabs>
          <w:tab w:val="num" w:pos="72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  <w:tabs>
          <w:tab w:val="num" w:pos="108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  <w:tabs>
          <w:tab w:val="num" w:pos="108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  <w:tabs>
          <w:tab w:val="num" w:pos="14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  <w:tabs>
          <w:tab w:val="num" w:pos="180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  <w:tabs>
          <w:tab w:val="num" w:pos="18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  <w:tabs>
          <w:tab w:val="num" w:pos="2160" w:leader="none"/>
        </w:tabs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>
      <w:start w:val="1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75" w:firstLine="0"/>
        <w:tabs>
          <w:tab w:val="num" w:pos="835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350" w:hanging="810"/>
        <w:tabs>
          <w:tab w:val="num" w:pos="135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"/>
      <w:lvlJc w:val="left"/>
      <w:pPr>
        <w:ind w:left="1620" w:hanging="360"/>
        <w:tabs>
          <w:tab w:val="num" w:pos="1620" w:leader="none"/>
        </w:tabs>
      </w:pPr>
      <w:rPr>
        <w:rFonts w:ascii="Symbol" w:hAnsi="Symbol"/>
      </w:rPr>
    </w:lvl>
    <w:lvl w:ilvl="2">
      <w:start w:val="1"/>
      <w:numFmt w:val="decimal"/>
      <w:isLgl w:val="false"/>
      <w:suff w:val="tab"/>
      <w:lvlText w:val="%3."/>
      <w:lvlJc w:val="left"/>
      <w:pPr>
        <w:ind w:left="2340" w:hanging="360"/>
        <w:tabs>
          <w:tab w:val="num" w:pos="2340" w:leader="none"/>
        </w:tabs>
      </w:pPr>
    </w:lvl>
    <w:lvl w:ilvl="3">
      <w:start w:val="1"/>
      <w:numFmt w:val="bullet"/>
      <w:isLgl w:val="false"/>
      <w:suff w:val="tab"/>
      <w:lvlText w:val=""/>
      <w:lvlJc w:val="left"/>
      <w:pPr>
        <w:ind w:left="3060" w:hanging="360"/>
        <w:tabs>
          <w:tab w:val="num" w:pos="306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780" w:hanging="360"/>
        <w:tabs>
          <w:tab w:val="num" w:pos="3780" w:leader="none"/>
        </w:tabs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00" w:hanging="360"/>
        <w:tabs>
          <w:tab w:val="num" w:pos="450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20" w:hanging="360"/>
        <w:tabs>
          <w:tab w:val="num" w:pos="522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40" w:hanging="360"/>
        <w:tabs>
          <w:tab w:val="num" w:pos="5940" w:leader="none"/>
        </w:tabs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660" w:hanging="360"/>
        <w:tabs>
          <w:tab w:val="num" w:pos="6660" w:leader="none"/>
        </w:tabs>
      </w:pPr>
      <w:rPr>
        <w:rFonts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890" w:hanging="810"/>
        <w:tabs>
          <w:tab w:val="num" w:pos="189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980" w:hanging="360"/>
        <w:tabs>
          <w:tab w:val="num" w:pos="1980" w:leader="none"/>
        </w:tabs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00" w:hanging="360"/>
        <w:tabs>
          <w:tab w:val="num" w:pos="270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20" w:hanging="360"/>
        <w:tabs>
          <w:tab w:val="num" w:pos="342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40" w:hanging="360"/>
        <w:tabs>
          <w:tab w:val="num" w:pos="4140" w:leader="none"/>
        </w:tabs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60" w:hanging="360"/>
        <w:tabs>
          <w:tab w:val="num" w:pos="486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80" w:hanging="360"/>
        <w:tabs>
          <w:tab w:val="num" w:pos="558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00" w:hanging="360"/>
        <w:tabs>
          <w:tab w:val="num" w:pos="6300" w:leader="none"/>
        </w:tabs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20" w:hanging="360"/>
        <w:tabs>
          <w:tab w:val="num" w:pos="7020" w:leader="none"/>
        </w:tabs>
      </w:pPr>
      <w:rPr>
        <w:rFonts w:ascii="Wingdings" w:hAnsi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873" w:hanging="360"/>
        <w:tabs>
          <w:tab w:val="num" w:pos="873" w:leader="none"/>
        </w:tabs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593" w:hanging="360"/>
        <w:tabs>
          <w:tab w:val="num" w:pos="1593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313" w:hanging="360"/>
        <w:tabs>
          <w:tab w:val="num" w:pos="2313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033" w:hanging="360"/>
        <w:tabs>
          <w:tab w:val="num" w:pos="3033" w:leader="none"/>
        </w:tabs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753" w:hanging="360"/>
        <w:tabs>
          <w:tab w:val="num" w:pos="3753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473" w:hanging="360"/>
        <w:tabs>
          <w:tab w:val="num" w:pos="4473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193" w:hanging="360"/>
        <w:tabs>
          <w:tab w:val="num" w:pos="5193" w:leader="none"/>
        </w:tabs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5913" w:hanging="360"/>
        <w:tabs>
          <w:tab w:val="num" w:pos="5913" w:leader="none"/>
        </w:tabs>
      </w:pPr>
      <w:rPr>
        <w:rFonts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egacy w:legacy="1" w:legacyIndent="0" w:legacySpace="0"/>
      <w:lvlJc w:val="left"/>
      <w:pPr/>
      <w:rPr>
        <w:rFonts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  <w:tabs>
          <w:tab w:val="num" w:pos="927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080" w:hanging="360"/>
      </w:pPr>
      <w:rPr>
        <w:rFonts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2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4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8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0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873" w:hanging="360"/>
        <w:tabs>
          <w:tab w:val="num" w:pos="873" w:leader="none"/>
        </w:tabs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593" w:hanging="360"/>
        <w:tabs>
          <w:tab w:val="num" w:pos="1593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313" w:hanging="360"/>
        <w:tabs>
          <w:tab w:val="num" w:pos="2313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033" w:hanging="360"/>
        <w:tabs>
          <w:tab w:val="num" w:pos="3033" w:leader="none"/>
        </w:tabs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753" w:hanging="360"/>
        <w:tabs>
          <w:tab w:val="num" w:pos="3753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473" w:hanging="360"/>
        <w:tabs>
          <w:tab w:val="num" w:pos="4473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193" w:hanging="360"/>
        <w:tabs>
          <w:tab w:val="num" w:pos="5193" w:leader="none"/>
        </w:tabs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5913" w:hanging="360"/>
        <w:tabs>
          <w:tab w:val="num" w:pos="5913" w:leader="none"/>
        </w:tabs>
      </w:pPr>
      <w:rPr>
        <w:rFonts w:ascii="Wingdings" w:hAnsi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 w:val="false"/>
      <w:suff w:val="tab"/>
      <w:lvlText w:val="%1.%2."/>
      <w:lvlJc w:val="left"/>
      <w:pPr>
        <w:ind w:left="1080" w:hanging="720"/>
      </w:pPr>
      <w:rPr>
        <w:b w:val="0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  <w:rPr>
        <w:b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60" w:hanging="360"/>
        <w:tabs>
          <w:tab w:val="num" w:pos="1260" w:leader="none"/>
        </w:tabs>
      </w:pPr>
      <w:rPr>
        <w:rFonts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35" w:hanging="375"/>
        <w:tabs>
          <w:tab w:val="num" w:pos="735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22"/>
  </w:num>
  <w:num w:numId="4">
    <w:abstractNumId w:val="4"/>
  </w:num>
  <w:num w:numId="5">
    <w:abstractNumId w:val="25"/>
  </w:num>
  <w:num w:numId="6">
    <w:abstractNumId w:val="7"/>
  </w:num>
  <w:num w:numId="7">
    <w:abstractNumId w:val="14"/>
  </w:num>
  <w:num w:numId="8">
    <w:abstractNumId w:val="1"/>
  </w:num>
  <w:num w:numId="9">
    <w:abstractNumId w:val="24"/>
  </w:num>
  <w:num w:numId="10">
    <w:abstractNumId w:val="3"/>
  </w:num>
  <w:num w:numId="11">
    <w:abstractNumId w:val="18"/>
  </w:num>
  <w:num w:numId="12">
    <w:abstractNumId w:val="6"/>
  </w:num>
  <w:num w:numId="13">
    <w:abstractNumId w:val="16"/>
  </w:num>
  <w:num w:numId="14">
    <w:abstractNumId w:val="9"/>
  </w:num>
  <w:num w:numId="15">
    <w:abstractNumId w:val="0"/>
  </w:num>
  <w:num w:numId="16">
    <w:abstractNumId w:val="26"/>
  </w:num>
  <w:num w:numId="17">
    <w:abstractNumId w:val="21"/>
  </w:num>
  <w:num w:numId="18">
    <w:abstractNumId w:val="19"/>
  </w:num>
  <w:num w:numId="19">
    <w:abstractNumId w:val="12"/>
  </w:num>
  <w:num w:numId="20">
    <w:abstractNumId w:val="20"/>
  </w:num>
  <w:num w:numId="21">
    <w:abstractNumId w:val="5"/>
  </w:num>
  <w:num w:numId="22">
    <w:abstractNumId w:val="27"/>
  </w:num>
  <w:num w:numId="23">
    <w:abstractNumId w:val="17"/>
  </w:num>
  <w:num w:numId="24">
    <w:abstractNumId w:val="2"/>
  </w:num>
  <w:num w:numId="25">
    <w:abstractNumId w:val="15"/>
  </w:num>
  <w:num w:numId="26">
    <w:abstractNumId w:val="13"/>
  </w:num>
  <w:num w:numId="27">
    <w:abstractNumId w:val="23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="Calibri" w:cs="Times New Roman"/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08">
    <w:name w:val="Heading 4 Char"/>
    <w:basedOn w:val="730"/>
    <w:link w:val="724"/>
    <w:uiPriority w:val="9"/>
    <w:rPr>
      <w:rFonts w:ascii="Arial" w:hAnsi="Arial" w:eastAsia="Arial" w:cs="Arial"/>
      <w:b/>
      <w:bCs/>
      <w:sz w:val="26"/>
      <w:szCs w:val="26"/>
    </w:rPr>
  </w:style>
  <w:style w:type="character" w:styleId="709">
    <w:name w:val="Heading 5 Char"/>
    <w:basedOn w:val="730"/>
    <w:link w:val="725"/>
    <w:uiPriority w:val="9"/>
    <w:rPr>
      <w:rFonts w:ascii="Arial" w:hAnsi="Arial" w:eastAsia="Arial" w:cs="Arial"/>
      <w:b/>
      <w:bCs/>
      <w:sz w:val="24"/>
      <w:szCs w:val="24"/>
    </w:rPr>
  </w:style>
  <w:style w:type="character" w:styleId="710">
    <w:name w:val="Heading 6 Char"/>
    <w:basedOn w:val="730"/>
    <w:link w:val="726"/>
    <w:uiPriority w:val="9"/>
    <w:rPr>
      <w:rFonts w:ascii="Arial" w:hAnsi="Arial" w:eastAsia="Arial" w:cs="Arial"/>
      <w:b/>
      <w:bCs/>
      <w:sz w:val="22"/>
      <w:szCs w:val="22"/>
    </w:rPr>
  </w:style>
  <w:style w:type="character" w:styleId="711">
    <w:name w:val="Heading 7 Char"/>
    <w:basedOn w:val="730"/>
    <w:link w:val="72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12">
    <w:name w:val="Heading 8 Char"/>
    <w:basedOn w:val="730"/>
    <w:link w:val="728"/>
    <w:uiPriority w:val="9"/>
    <w:rPr>
      <w:rFonts w:ascii="Arial" w:hAnsi="Arial" w:eastAsia="Arial" w:cs="Arial"/>
      <w:i/>
      <w:iCs/>
      <w:sz w:val="22"/>
      <w:szCs w:val="22"/>
    </w:rPr>
  </w:style>
  <w:style w:type="character" w:styleId="713">
    <w:name w:val="Heading 9 Char"/>
    <w:basedOn w:val="730"/>
    <w:link w:val="729"/>
    <w:uiPriority w:val="9"/>
    <w:rPr>
      <w:rFonts w:ascii="Arial" w:hAnsi="Arial" w:eastAsia="Arial" w:cs="Arial"/>
      <w:i/>
      <w:iCs/>
      <w:sz w:val="21"/>
      <w:szCs w:val="21"/>
    </w:rPr>
  </w:style>
  <w:style w:type="character" w:styleId="714">
    <w:name w:val="Title Char"/>
    <w:basedOn w:val="730"/>
    <w:link w:val="744"/>
    <w:uiPriority w:val="10"/>
    <w:rPr>
      <w:sz w:val="48"/>
      <w:szCs w:val="48"/>
    </w:rPr>
  </w:style>
  <w:style w:type="character" w:styleId="715">
    <w:name w:val="Subtitle Char"/>
    <w:basedOn w:val="730"/>
    <w:link w:val="746"/>
    <w:uiPriority w:val="11"/>
    <w:rPr>
      <w:sz w:val="24"/>
      <w:szCs w:val="24"/>
    </w:rPr>
  </w:style>
  <w:style w:type="character" w:styleId="716">
    <w:name w:val="Quote Char"/>
    <w:link w:val="748"/>
    <w:uiPriority w:val="29"/>
    <w:rPr>
      <w:i/>
    </w:rPr>
  </w:style>
  <w:style w:type="character" w:styleId="717">
    <w:name w:val="Intense Quote Char"/>
    <w:link w:val="750"/>
    <w:uiPriority w:val="30"/>
    <w:rPr>
      <w:i/>
    </w:rPr>
  </w:style>
  <w:style w:type="character" w:styleId="718">
    <w:name w:val="Footnote Text Char"/>
    <w:link w:val="885"/>
    <w:uiPriority w:val="99"/>
    <w:rPr>
      <w:sz w:val="18"/>
    </w:rPr>
  </w:style>
  <w:style w:type="character" w:styleId="719">
    <w:name w:val="Endnote Text Char"/>
    <w:link w:val="888"/>
    <w:uiPriority w:val="99"/>
    <w:rPr>
      <w:sz w:val="20"/>
    </w:rPr>
  </w:style>
  <w:style w:type="paragraph" w:styleId="720" w:default="1">
    <w:name w:val="Normal"/>
    <w:qFormat/>
    <w:pPr>
      <w:widowControl w:val="off"/>
    </w:pPr>
    <w:rPr>
      <w:rFonts w:eastAsia="Times New Roman"/>
      <w:lang w:eastAsia="ru-RU"/>
    </w:rPr>
  </w:style>
  <w:style w:type="paragraph" w:styleId="721">
    <w:name w:val="Heading 1"/>
    <w:basedOn w:val="720"/>
    <w:next w:val="720"/>
    <w:link w:val="910"/>
    <w:uiPriority w:val="9"/>
    <w:qFormat/>
    <w:pPr>
      <w:keepLines/>
      <w:keepNext/>
      <w:spacing w:before="480"/>
      <w:outlineLvl w:val="0"/>
    </w:pPr>
    <w:rPr>
      <w:rFonts w:ascii="Cambria" w:hAnsi="Cambria"/>
      <w:b/>
      <w:bCs/>
      <w:color w:val="365f91"/>
      <w:lang w:val="en-US"/>
    </w:rPr>
  </w:style>
  <w:style w:type="paragraph" w:styleId="722">
    <w:name w:val="Heading 2"/>
    <w:basedOn w:val="720"/>
    <w:next w:val="720"/>
    <w:link w:val="913"/>
    <w:uiPriority w:val="9"/>
    <w:semiHidden/>
    <w:unhideWhenUsed/>
    <w:qFormat/>
    <w:pPr>
      <w:keepLines/>
      <w:keepNext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en-US"/>
    </w:rPr>
  </w:style>
  <w:style w:type="paragraph" w:styleId="723">
    <w:name w:val="Heading 3"/>
    <w:basedOn w:val="720"/>
    <w:next w:val="720"/>
    <w:link w:val="902"/>
    <w:qFormat/>
    <w:pPr>
      <w:keepNext/>
      <w:spacing w:before="240" w:after="60"/>
      <w:widowControl/>
      <w:outlineLvl w:val="2"/>
    </w:pPr>
    <w:rPr>
      <w:rFonts w:ascii="Arial" w:hAnsi="Arial"/>
      <w:b/>
      <w:bCs/>
      <w:sz w:val="26"/>
      <w:szCs w:val="26"/>
      <w:lang w:val="en-US"/>
    </w:rPr>
  </w:style>
  <w:style w:type="paragraph" w:styleId="724">
    <w:name w:val="Heading 4"/>
    <w:basedOn w:val="720"/>
    <w:next w:val="720"/>
    <w:link w:val="736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25">
    <w:name w:val="Heading 5"/>
    <w:basedOn w:val="720"/>
    <w:next w:val="720"/>
    <w:link w:val="73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26">
    <w:name w:val="Heading 6"/>
    <w:basedOn w:val="720"/>
    <w:next w:val="720"/>
    <w:link w:val="73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27">
    <w:name w:val="Heading 7"/>
    <w:basedOn w:val="720"/>
    <w:next w:val="720"/>
    <w:link w:val="73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28">
    <w:name w:val="Heading 8"/>
    <w:basedOn w:val="720"/>
    <w:next w:val="720"/>
    <w:link w:val="740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29">
    <w:name w:val="Heading 9"/>
    <w:basedOn w:val="720"/>
    <w:next w:val="720"/>
    <w:link w:val="74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0" w:default="1">
    <w:name w:val="Default Paragraph Font"/>
    <w:uiPriority w:val="1"/>
    <w:semiHidden/>
    <w:unhideWhenUsed/>
  </w:style>
  <w:style w:type="table" w:styleId="73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32" w:default="1">
    <w:name w:val="No List"/>
    <w:uiPriority w:val="99"/>
    <w:semiHidden/>
    <w:unhideWhenUsed/>
  </w:style>
  <w:style w:type="character" w:styleId="733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734" w:customStyle="1">
    <w:name w:val="Heading 2 Char"/>
    <w:uiPriority w:val="9"/>
    <w:rPr>
      <w:rFonts w:ascii="Arial" w:hAnsi="Arial" w:eastAsia="Arial" w:cs="Arial"/>
      <w:sz w:val="34"/>
    </w:rPr>
  </w:style>
  <w:style w:type="character" w:styleId="735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36" w:customStyle="1">
    <w:name w:val="Заголовок 4 Знак"/>
    <w:link w:val="724"/>
    <w:uiPriority w:val="9"/>
    <w:rPr>
      <w:rFonts w:ascii="Arial" w:hAnsi="Arial" w:eastAsia="Arial" w:cs="Arial"/>
      <w:b/>
      <w:bCs/>
      <w:sz w:val="26"/>
      <w:szCs w:val="26"/>
    </w:rPr>
  </w:style>
  <w:style w:type="character" w:styleId="737" w:customStyle="1">
    <w:name w:val="Заголовок 5 Знак"/>
    <w:link w:val="725"/>
    <w:uiPriority w:val="9"/>
    <w:rPr>
      <w:rFonts w:ascii="Arial" w:hAnsi="Arial" w:eastAsia="Arial" w:cs="Arial"/>
      <w:b/>
      <w:bCs/>
      <w:sz w:val="24"/>
      <w:szCs w:val="24"/>
    </w:rPr>
  </w:style>
  <w:style w:type="character" w:styleId="738" w:customStyle="1">
    <w:name w:val="Заголовок 6 Знак"/>
    <w:link w:val="726"/>
    <w:uiPriority w:val="9"/>
    <w:rPr>
      <w:rFonts w:ascii="Arial" w:hAnsi="Arial" w:eastAsia="Arial" w:cs="Arial"/>
      <w:b/>
      <w:bCs/>
      <w:sz w:val="22"/>
      <w:szCs w:val="22"/>
    </w:rPr>
  </w:style>
  <w:style w:type="character" w:styleId="739" w:customStyle="1">
    <w:name w:val="Заголовок 7 Знак"/>
    <w:link w:val="72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40" w:customStyle="1">
    <w:name w:val="Заголовок 8 Знак"/>
    <w:link w:val="728"/>
    <w:uiPriority w:val="9"/>
    <w:rPr>
      <w:rFonts w:ascii="Arial" w:hAnsi="Arial" w:eastAsia="Arial" w:cs="Arial"/>
      <w:i/>
      <w:iCs/>
      <w:sz w:val="22"/>
      <w:szCs w:val="22"/>
    </w:rPr>
  </w:style>
  <w:style w:type="character" w:styleId="741" w:customStyle="1">
    <w:name w:val="Заголовок 9 Знак"/>
    <w:link w:val="729"/>
    <w:uiPriority w:val="9"/>
    <w:rPr>
      <w:rFonts w:ascii="Arial" w:hAnsi="Arial" w:eastAsia="Arial" w:cs="Arial"/>
      <w:i/>
      <w:iCs/>
      <w:sz w:val="21"/>
      <w:szCs w:val="21"/>
    </w:rPr>
  </w:style>
  <w:style w:type="paragraph" w:styleId="742">
    <w:name w:val="List Paragraph"/>
    <w:basedOn w:val="720"/>
    <w:qFormat/>
    <w:pPr>
      <w:contextualSpacing/>
      <w:ind w:left="720"/>
      <w:widowControl/>
    </w:pPr>
    <w:rPr>
      <w:sz w:val="24"/>
      <w:szCs w:val="24"/>
    </w:rPr>
  </w:style>
  <w:style w:type="paragraph" w:styleId="743">
    <w:name w:val="No Spacing"/>
    <w:uiPriority w:val="1"/>
    <w:qFormat/>
  </w:style>
  <w:style w:type="paragraph" w:styleId="744">
    <w:name w:val="Title"/>
    <w:basedOn w:val="720"/>
    <w:next w:val="720"/>
    <w:link w:val="74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45" w:customStyle="1">
    <w:name w:val="Заголовок Знак"/>
    <w:link w:val="744"/>
    <w:uiPriority w:val="10"/>
    <w:rPr>
      <w:sz w:val="48"/>
      <w:szCs w:val="48"/>
    </w:rPr>
  </w:style>
  <w:style w:type="paragraph" w:styleId="746">
    <w:name w:val="Subtitle"/>
    <w:basedOn w:val="720"/>
    <w:next w:val="720"/>
    <w:link w:val="747"/>
    <w:uiPriority w:val="11"/>
    <w:qFormat/>
    <w:pPr>
      <w:spacing w:before="200" w:after="200"/>
    </w:pPr>
    <w:rPr>
      <w:sz w:val="24"/>
      <w:szCs w:val="24"/>
    </w:rPr>
  </w:style>
  <w:style w:type="character" w:styleId="747" w:customStyle="1">
    <w:name w:val="Подзаголовок Знак"/>
    <w:link w:val="746"/>
    <w:uiPriority w:val="11"/>
    <w:rPr>
      <w:sz w:val="24"/>
      <w:szCs w:val="24"/>
    </w:rPr>
  </w:style>
  <w:style w:type="paragraph" w:styleId="748">
    <w:name w:val="Quote"/>
    <w:basedOn w:val="720"/>
    <w:next w:val="720"/>
    <w:link w:val="749"/>
    <w:uiPriority w:val="29"/>
    <w:qFormat/>
    <w:pPr>
      <w:ind w:left="720" w:right="720"/>
    </w:pPr>
    <w:rPr>
      <w:i/>
    </w:rPr>
  </w:style>
  <w:style w:type="character" w:styleId="749" w:customStyle="1">
    <w:name w:val="Цитата 2 Знак"/>
    <w:link w:val="748"/>
    <w:uiPriority w:val="29"/>
    <w:rPr>
      <w:i/>
    </w:rPr>
  </w:style>
  <w:style w:type="paragraph" w:styleId="750">
    <w:name w:val="Intense Quote"/>
    <w:basedOn w:val="720"/>
    <w:next w:val="720"/>
    <w:link w:val="751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51" w:customStyle="1">
    <w:name w:val="Выделенная цитата Знак"/>
    <w:link w:val="750"/>
    <w:uiPriority w:val="30"/>
    <w:rPr>
      <w:i/>
    </w:rPr>
  </w:style>
  <w:style w:type="paragraph" w:styleId="752">
    <w:name w:val="Header"/>
    <w:basedOn w:val="720"/>
    <w:link w:val="914"/>
    <w:uiPriority w:val="99"/>
    <w:semiHidden/>
    <w:unhideWhenUsed/>
    <w:pPr>
      <w:tabs>
        <w:tab w:val="center" w:pos="4677" w:leader="none"/>
        <w:tab w:val="right" w:pos="9355" w:leader="none"/>
      </w:tabs>
    </w:pPr>
    <w:rPr>
      <w:lang w:val="en-US"/>
    </w:rPr>
  </w:style>
  <w:style w:type="character" w:styleId="753" w:customStyle="1">
    <w:name w:val="Header Char"/>
    <w:uiPriority w:val="99"/>
  </w:style>
  <w:style w:type="paragraph" w:styleId="754">
    <w:name w:val="Footer"/>
    <w:basedOn w:val="720"/>
    <w:link w:val="915"/>
    <w:uiPriority w:val="99"/>
    <w:unhideWhenUsed/>
    <w:pPr>
      <w:tabs>
        <w:tab w:val="center" w:pos="4677" w:leader="none"/>
        <w:tab w:val="right" w:pos="9355" w:leader="none"/>
      </w:tabs>
    </w:pPr>
    <w:rPr>
      <w:lang w:val="en-US"/>
    </w:rPr>
  </w:style>
  <w:style w:type="character" w:styleId="755" w:customStyle="1">
    <w:name w:val="Footer Char"/>
    <w:uiPriority w:val="99"/>
  </w:style>
  <w:style w:type="paragraph" w:styleId="756">
    <w:name w:val="Caption"/>
    <w:basedOn w:val="720"/>
    <w:next w:val="72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57" w:customStyle="1">
    <w:name w:val="Caption Char"/>
    <w:uiPriority w:val="99"/>
  </w:style>
  <w:style w:type="table" w:styleId="758">
    <w:name w:val="Table Grid"/>
    <w:basedOn w:val="731"/>
    <w:uiPriority w:val="59"/>
    <w:tblPr/>
  </w:style>
  <w:style w:type="table" w:styleId="759" w:customStyle="1">
    <w:name w:val="Table Grid Light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60">
    <w:name w:val="Plain Table 1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1">
    <w:name w:val="Plain Table 2"/>
    <w:uiPriority w:val="59"/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2">
    <w:name w:val="Plain Table 3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63">
    <w:name w:val="Plain Table 4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Plain Table 5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65">
    <w:name w:val="Grid Table 1 Light"/>
    <w:uiPriority w:val="99"/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 w:customStyle="1">
    <w:name w:val="Grid Table 1 Light - Accent 1"/>
    <w:uiPriority w:val="99"/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 w:customStyle="1">
    <w:name w:val="Grid Table 1 Light - Accent 2"/>
    <w:uiPriority w:val="99"/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 w:customStyle="1">
    <w:name w:val="Grid Table 1 Light - Accent 3"/>
    <w:uiPriority w:val="99"/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 w:customStyle="1">
    <w:name w:val="Grid Table 1 Light - Accent 4"/>
    <w:uiPriority w:val="99"/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 w:customStyle="1">
    <w:name w:val="Grid Table 1 Light - Accent 5"/>
    <w:uiPriority w:val="99"/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 w:customStyle="1">
    <w:name w:val="Grid Table 1 Light - Accent 6"/>
    <w:uiPriority w:val="99"/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Grid Table 2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 w:customStyle="1">
    <w:name w:val="Grid Table 2 - Accent 1"/>
    <w:uiPriority w:val="99"/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 w:customStyle="1">
    <w:name w:val="Grid Table 2 - Accent 2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 w:customStyle="1">
    <w:name w:val="Grid Table 2 - Accent 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 w:customStyle="1">
    <w:name w:val="Grid Table 2 - Accent 4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 w:customStyle="1">
    <w:name w:val="Grid Table 2 - Accent 5"/>
    <w:uiPriority w:val="99"/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 w:customStyle="1">
    <w:name w:val="Grid Table 2 - Accent 6"/>
    <w:uiPriority w:val="99"/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Grid Table 3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 w:customStyle="1">
    <w:name w:val="Grid Table 3 - Accent 1"/>
    <w:uiPriority w:val="99"/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 w:customStyle="1">
    <w:name w:val="Grid Table 3 - Accent 2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 w:customStyle="1">
    <w:name w:val="Grid Table 3 - Accent 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 w:customStyle="1">
    <w:name w:val="Grid Table 3 - Accent 4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 w:customStyle="1">
    <w:name w:val="Grid Table 3 - Accent 5"/>
    <w:uiPriority w:val="99"/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 w:customStyle="1">
    <w:name w:val="Grid Table 3 - Accent 6"/>
    <w:uiPriority w:val="99"/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Grid Table 4"/>
    <w:uiPriority w:val="5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7" w:customStyle="1">
    <w:name w:val="Grid Table 4 - Accent 1"/>
    <w:uiPriority w:val="5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88" w:customStyle="1">
    <w:name w:val="Grid Table 4 - Accent 2"/>
    <w:uiPriority w:val="5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89" w:customStyle="1">
    <w:name w:val="Grid Table 4 - Accent 3"/>
    <w:uiPriority w:val="5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90" w:customStyle="1">
    <w:name w:val="Grid Table 4 - Accent 4"/>
    <w:uiPriority w:val="5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91" w:customStyle="1">
    <w:name w:val="Grid Table 4 - Accent 5"/>
    <w:uiPriority w:val="5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92" w:customStyle="1">
    <w:name w:val="Grid Table 4 - Accent 6"/>
    <w:uiPriority w:val="5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93">
    <w:name w:val="Grid Table 5 Dark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94" w:customStyle="1">
    <w:name w:val="Grid Table 5 Dark- Accent 1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795" w:customStyle="1">
    <w:name w:val="Grid Table 5 Dark - Accent 2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796" w:customStyle="1">
    <w:name w:val="Grid Table 5 Dark - Accent 3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797" w:customStyle="1">
    <w:name w:val="Grid Table 5 Dark- Accent 4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798" w:customStyle="1">
    <w:name w:val="Grid Table 5 Dark - Accent 5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799" w:customStyle="1">
    <w:name w:val="Grid Table 5 Dark - Accent 6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800">
    <w:name w:val="Grid Table 6 Colorful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01" w:customStyle="1">
    <w:name w:val="Grid Table 6 Colorful - Accent 1"/>
    <w:uiPriority w:val="99"/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802" w:customStyle="1">
    <w:name w:val="Grid Table 6 Colorful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803" w:customStyle="1">
    <w:name w:val="Grid Table 6 Colorful - Accent 3"/>
    <w:uiPriority w:val="99"/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804" w:customStyle="1">
    <w:name w:val="Grid Table 6 Colorful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805" w:customStyle="1">
    <w:name w:val="Grid Table 6 Colorful - Accent 5"/>
    <w:uiPriority w:val="99"/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06" w:customStyle="1">
    <w:name w:val="Grid Table 6 Colorful - Accent 6"/>
    <w:uiPriority w:val="99"/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07">
    <w:name w:val="Grid Table 7 Colorful"/>
    <w:uiPriority w:val="99"/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 w:customStyle="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 w:customStyle="1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 w:customStyle="1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 w:customStyle="1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 w:customStyle="1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 w:customStyle="1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List Table 1 Light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 w:customStyle="1">
    <w:name w:val="List Table 1 Light - Accent 1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 w:customStyle="1">
    <w:name w:val="List Table 1 Light - Accent 2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 w:customStyle="1">
    <w:name w:val="List Table 1 Light - Accent 3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 w:customStyle="1">
    <w:name w:val="List Table 1 Light - Accent 4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 w:customStyle="1">
    <w:name w:val="List Table 1 Light - Accent 5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0" w:customStyle="1">
    <w:name w:val="List Table 1 Light - Accent 6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1">
    <w:name w:val="List Table 2"/>
    <w:uiPriority w:val="9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22" w:customStyle="1">
    <w:name w:val="List Table 2 - Accent 1"/>
    <w:uiPriority w:val="9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823" w:customStyle="1">
    <w:name w:val="List Table 2 - Accent 2"/>
    <w:uiPriority w:val="9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824" w:customStyle="1">
    <w:name w:val="List Table 2 - Accent 3"/>
    <w:uiPriority w:val="9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825" w:customStyle="1">
    <w:name w:val="List Table 2 - Accent 4"/>
    <w:uiPriority w:val="9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826" w:customStyle="1">
    <w:name w:val="List Table 2 - Accent 5"/>
    <w:uiPriority w:val="9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827" w:customStyle="1">
    <w:name w:val="List Table 2 - Accent 6"/>
    <w:uiPriority w:val="9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828">
    <w:name w:val="List Table 3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 w:customStyle="1">
    <w:name w:val="List Table 3 - Accent 1"/>
    <w:uiPriority w:val="99"/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 w:customStyle="1">
    <w:name w:val="List Table 3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 w:customStyle="1">
    <w:name w:val="List Table 3 - Accent 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 w:customStyle="1">
    <w:name w:val="List Table 3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 w:customStyle="1">
    <w:name w:val="List Table 3 - Accent 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 w:customStyle="1">
    <w:name w:val="List Table 3 - Accent 6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>
    <w:name w:val="List Table 4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 w:customStyle="1">
    <w:name w:val="List Table 4 - Accent 1"/>
    <w:uiPriority w:val="9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7" w:customStyle="1">
    <w:name w:val="List Table 4 - Accent 2"/>
    <w:uiPriority w:val="9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8" w:customStyle="1">
    <w:name w:val="List Table 4 - Accent 3"/>
    <w:uiPriority w:val="9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9" w:customStyle="1">
    <w:name w:val="List Table 4 - Accent 4"/>
    <w:uiPriority w:val="9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0" w:customStyle="1">
    <w:name w:val="List Table 4 - Accent 5"/>
    <w:uiPriority w:val="9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1" w:customStyle="1">
    <w:name w:val="List Table 4 - Accent 6"/>
    <w:uiPriority w:val="9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2">
    <w:name w:val="List Table 5 Dark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3" w:customStyle="1">
    <w:name w:val="List Table 5 Dark - Accent 1"/>
    <w:uiPriority w:val="99"/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4" w:customStyle="1">
    <w:name w:val="List Table 5 Dark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5" w:customStyle="1">
    <w:name w:val="List Table 5 Dark - Accent 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6" w:customStyle="1">
    <w:name w:val="List Table 5 Dark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7" w:customStyle="1">
    <w:name w:val="List Table 5 Dark - Accent 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8" w:customStyle="1">
    <w:name w:val="List Table 5 Dark - Accent 6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9">
    <w:name w:val="List Table 6 Colorful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50" w:customStyle="1">
    <w:name w:val="List Table 6 Colorful - Accent 1"/>
    <w:uiPriority w:val="99"/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851" w:customStyle="1">
    <w:name w:val="List Table 6 Colorful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852" w:customStyle="1">
    <w:name w:val="List Table 6 Colorful - Accent 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853" w:customStyle="1">
    <w:name w:val="List Table 6 Colorful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854" w:customStyle="1">
    <w:name w:val="List Table 6 Colorful - Accent 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855" w:customStyle="1">
    <w:name w:val="List Table 6 Colorful - Accent 6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856">
    <w:name w:val="List Table 7 Colorful"/>
    <w:uiPriority w:val="99"/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7" w:customStyle="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8" w:customStyle="1">
    <w:name w:val="List Table 7 Colorful - Accent 2"/>
    <w:uiPriority w:val="99"/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9" w:customStyle="1">
    <w:name w:val="List Table 7 Colorful - Accent 3"/>
    <w:uiPriority w:val="99"/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0" w:customStyle="1">
    <w:name w:val="List Table 7 Colorful - Accent 4"/>
    <w:uiPriority w:val="99"/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1" w:customStyle="1">
    <w:name w:val="List Table 7 Colorful - Accent 5"/>
    <w:uiPriority w:val="99"/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2" w:customStyle="1">
    <w:name w:val="List Table 7 Colorful - Accent 6"/>
    <w:uiPriority w:val="99"/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3" w:customStyle="1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64" w:customStyle="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65" w:customStyle="1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66" w:customStyle="1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67" w:customStyle="1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68" w:customStyle="1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69" w:customStyle="1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70" w:customStyle="1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71" w:customStyle="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72" w:customStyle="1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73" w:customStyle="1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74" w:customStyle="1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75" w:customStyle="1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76" w:customStyle="1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77" w:customStyle="1">
    <w:name w:val="Bordered"/>
    <w:uiPriority w:val="99"/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78" w:customStyle="1">
    <w:name w:val="Bordered - Accent 1"/>
    <w:uiPriority w:val="99"/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79" w:customStyle="1">
    <w:name w:val="Bordered - Accent 2"/>
    <w:uiPriority w:val="99"/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80" w:customStyle="1">
    <w:name w:val="Bordered - Accent 3"/>
    <w:uiPriority w:val="99"/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81" w:customStyle="1">
    <w:name w:val="Bordered - Accent 4"/>
    <w:uiPriority w:val="99"/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82" w:customStyle="1">
    <w:name w:val="Bordered - Accent 5"/>
    <w:uiPriority w:val="99"/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83" w:customStyle="1">
    <w:name w:val="Bordered - Accent 6"/>
    <w:uiPriority w:val="99"/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884">
    <w:name w:val="Hyperlink"/>
    <w:uiPriority w:val="99"/>
    <w:unhideWhenUsed/>
    <w:rPr>
      <w:color w:val="0000ff"/>
      <w:u w:val="single"/>
    </w:rPr>
  </w:style>
  <w:style w:type="paragraph" w:styleId="885">
    <w:name w:val="footnote text"/>
    <w:basedOn w:val="720"/>
    <w:link w:val="886"/>
    <w:uiPriority w:val="99"/>
    <w:semiHidden/>
    <w:unhideWhenUsed/>
    <w:pPr>
      <w:spacing w:after="40"/>
    </w:pPr>
    <w:rPr>
      <w:sz w:val="18"/>
    </w:rPr>
  </w:style>
  <w:style w:type="character" w:styleId="886" w:customStyle="1">
    <w:name w:val="Текст сноски Знак"/>
    <w:link w:val="885"/>
    <w:uiPriority w:val="99"/>
    <w:rPr>
      <w:sz w:val="18"/>
    </w:rPr>
  </w:style>
  <w:style w:type="character" w:styleId="887">
    <w:name w:val="footnote reference"/>
    <w:uiPriority w:val="99"/>
    <w:unhideWhenUsed/>
    <w:rPr>
      <w:vertAlign w:val="superscript"/>
    </w:rPr>
  </w:style>
  <w:style w:type="paragraph" w:styleId="888">
    <w:name w:val="endnote text"/>
    <w:basedOn w:val="720"/>
    <w:link w:val="889"/>
    <w:uiPriority w:val="99"/>
    <w:semiHidden/>
    <w:unhideWhenUsed/>
  </w:style>
  <w:style w:type="character" w:styleId="889" w:customStyle="1">
    <w:name w:val="Текст концевой сноски Знак"/>
    <w:link w:val="888"/>
    <w:uiPriority w:val="99"/>
    <w:rPr>
      <w:sz w:val="20"/>
    </w:rPr>
  </w:style>
  <w:style w:type="character" w:styleId="890">
    <w:name w:val="endnote reference"/>
    <w:uiPriority w:val="99"/>
    <w:semiHidden/>
    <w:unhideWhenUsed/>
    <w:rPr>
      <w:vertAlign w:val="superscript"/>
    </w:rPr>
  </w:style>
  <w:style w:type="paragraph" w:styleId="891">
    <w:name w:val="toc 1"/>
    <w:basedOn w:val="720"/>
    <w:next w:val="720"/>
    <w:uiPriority w:val="39"/>
    <w:unhideWhenUsed/>
  </w:style>
  <w:style w:type="paragraph" w:styleId="892">
    <w:name w:val="toc 2"/>
    <w:basedOn w:val="720"/>
    <w:next w:val="720"/>
    <w:uiPriority w:val="39"/>
    <w:unhideWhenUsed/>
    <w:pPr>
      <w:ind w:left="200"/>
    </w:pPr>
  </w:style>
  <w:style w:type="paragraph" w:styleId="893">
    <w:name w:val="toc 3"/>
    <w:basedOn w:val="720"/>
    <w:next w:val="720"/>
    <w:uiPriority w:val="39"/>
    <w:unhideWhenUsed/>
    <w:pPr>
      <w:ind w:left="400"/>
    </w:pPr>
  </w:style>
  <w:style w:type="paragraph" w:styleId="894">
    <w:name w:val="toc 4"/>
    <w:basedOn w:val="720"/>
    <w:next w:val="720"/>
    <w:uiPriority w:val="39"/>
    <w:unhideWhenUsed/>
    <w:pPr>
      <w:ind w:left="850"/>
      <w:spacing w:after="57"/>
    </w:pPr>
  </w:style>
  <w:style w:type="paragraph" w:styleId="895">
    <w:name w:val="toc 5"/>
    <w:basedOn w:val="720"/>
    <w:next w:val="720"/>
    <w:uiPriority w:val="39"/>
    <w:unhideWhenUsed/>
    <w:pPr>
      <w:ind w:left="1134"/>
      <w:spacing w:after="57"/>
    </w:pPr>
  </w:style>
  <w:style w:type="paragraph" w:styleId="896">
    <w:name w:val="toc 6"/>
    <w:basedOn w:val="720"/>
    <w:next w:val="720"/>
    <w:uiPriority w:val="39"/>
    <w:unhideWhenUsed/>
    <w:pPr>
      <w:ind w:left="1417"/>
      <w:spacing w:after="57"/>
    </w:pPr>
  </w:style>
  <w:style w:type="paragraph" w:styleId="897">
    <w:name w:val="toc 7"/>
    <w:basedOn w:val="720"/>
    <w:next w:val="720"/>
    <w:uiPriority w:val="39"/>
    <w:unhideWhenUsed/>
    <w:pPr>
      <w:ind w:left="1701"/>
      <w:spacing w:after="57"/>
    </w:pPr>
  </w:style>
  <w:style w:type="paragraph" w:styleId="898">
    <w:name w:val="toc 8"/>
    <w:basedOn w:val="720"/>
    <w:next w:val="720"/>
    <w:uiPriority w:val="39"/>
    <w:unhideWhenUsed/>
    <w:pPr>
      <w:ind w:left="1984"/>
      <w:spacing w:after="57"/>
    </w:pPr>
  </w:style>
  <w:style w:type="paragraph" w:styleId="899">
    <w:name w:val="toc 9"/>
    <w:basedOn w:val="720"/>
    <w:next w:val="720"/>
    <w:uiPriority w:val="39"/>
    <w:unhideWhenUsed/>
    <w:pPr>
      <w:ind w:left="2268"/>
      <w:spacing w:after="57"/>
    </w:pPr>
  </w:style>
  <w:style w:type="paragraph" w:styleId="900">
    <w:name w:val="TOC Heading"/>
    <w:basedOn w:val="721"/>
    <w:next w:val="720"/>
    <w:uiPriority w:val="39"/>
    <w:semiHidden/>
    <w:unhideWhenUsed/>
    <w:qFormat/>
    <w:pPr>
      <w:spacing w:line="276" w:lineRule="auto"/>
      <w:widowControl/>
      <w:outlineLvl w:val="9"/>
    </w:pPr>
    <w:rPr>
      <w:lang w:eastAsia="en-US"/>
    </w:rPr>
  </w:style>
  <w:style w:type="paragraph" w:styleId="901">
    <w:name w:val="table of figures"/>
    <w:basedOn w:val="720"/>
    <w:next w:val="720"/>
    <w:uiPriority w:val="99"/>
    <w:unhideWhenUsed/>
  </w:style>
  <w:style w:type="character" w:styleId="902" w:customStyle="1">
    <w:name w:val="Заголовок 3 Знак"/>
    <w:link w:val="723"/>
    <w:rPr>
      <w:rFonts w:ascii="Arial" w:hAnsi="Arial" w:eastAsia="Times New Roman" w:cs="Arial"/>
      <w:b/>
      <w:bCs/>
      <w:sz w:val="26"/>
      <w:szCs w:val="26"/>
      <w:lang w:eastAsia="ru-RU"/>
    </w:rPr>
  </w:style>
  <w:style w:type="character" w:styleId="903">
    <w:name w:val="Strong"/>
    <w:uiPriority w:val="22"/>
    <w:qFormat/>
    <w:rPr>
      <w:b/>
      <w:bCs/>
    </w:rPr>
  </w:style>
  <w:style w:type="paragraph" w:styleId="904">
    <w:name w:val="Body Text Indent 3"/>
    <w:basedOn w:val="720"/>
    <w:link w:val="905"/>
    <w:pPr>
      <w:ind w:left="283"/>
      <w:spacing w:after="120"/>
    </w:pPr>
    <w:rPr>
      <w:sz w:val="16"/>
      <w:szCs w:val="16"/>
      <w:lang w:val="en-US"/>
    </w:rPr>
  </w:style>
  <w:style w:type="character" w:styleId="905" w:customStyle="1">
    <w:name w:val="Основной текст с отступом 3 Знак"/>
    <w:link w:val="904"/>
    <w:rPr>
      <w:rFonts w:eastAsia="Times New Roman"/>
      <w:sz w:val="16"/>
      <w:szCs w:val="16"/>
      <w:lang w:eastAsia="ru-RU"/>
    </w:rPr>
  </w:style>
  <w:style w:type="paragraph" w:styleId="906" w:customStyle="1">
    <w:name w:val="ConsPlusNormal"/>
    <w:pPr>
      <w:ind w:firstLine="720"/>
      <w:widowControl w:val="off"/>
    </w:pPr>
    <w:rPr>
      <w:rFonts w:ascii="Arial" w:hAnsi="Arial" w:eastAsia="Times New Roman" w:cs="Arial"/>
      <w:lang w:eastAsia="ru-RU"/>
    </w:rPr>
  </w:style>
  <w:style w:type="paragraph" w:styleId="907" w:customStyle="1">
    <w:name w:val="Стиль1"/>
    <w:basedOn w:val="720"/>
    <w:uiPriority w:val="99"/>
    <w:pPr>
      <w:numPr>
        <w:numId w:val="8"/>
      </w:numPr>
      <w:jc w:val="both"/>
      <w:spacing w:line="360" w:lineRule="auto"/>
      <w:widowControl/>
    </w:pPr>
    <w:rPr>
      <w:color w:val="000000"/>
      <w:sz w:val="26"/>
      <w:szCs w:val="24"/>
    </w:rPr>
  </w:style>
  <w:style w:type="paragraph" w:styleId="908">
    <w:name w:val="Body Text"/>
    <w:basedOn w:val="720"/>
    <w:link w:val="909"/>
    <w:pPr>
      <w:spacing w:after="120"/>
    </w:pPr>
    <w:rPr>
      <w:lang w:val="en-US"/>
    </w:rPr>
  </w:style>
  <w:style w:type="character" w:styleId="909" w:customStyle="1">
    <w:name w:val="Основной текст Знак"/>
    <w:link w:val="908"/>
    <w:rPr>
      <w:rFonts w:eastAsia="Times New Roman"/>
      <w:sz w:val="20"/>
      <w:szCs w:val="20"/>
      <w:lang w:eastAsia="ru-RU"/>
    </w:rPr>
  </w:style>
  <w:style w:type="character" w:styleId="910" w:customStyle="1">
    <w:name w:val="Заголовок 1 Знак"/>
    <w:link w:val="721"/>
    <w:uiPriority w:val="9"/>
    <w:rPr>
      <w:rFonts w:ascii="Cambria" w:hAnsi="Cambria" w:eastAsia="Times New Roman" w:cs="Times New Roman"/>
      <w:b/>
      <w:bCs/>
      <w:color w:val="365f91"/>
      <w:lang w:eastAsia="ru-RU"/>
    </w:rPr>
  </w:style>
  <w:style w:type="paragraph" w:styleId="911">
    <w:name w:val="Body Text 2"/>
    <w:basedOn w:val="720"/>
    <w:link w:val="912"/>
    <w:uiPriority w:val="99"/>
    <w:semiHidden/>
    <w:unhideWhenUsed/>
    <w:pPr>
      <w:spacing w:after="120" w:line="480" w:lineRule="auto"/>
    </w:pPr>
    <w:rPr>
      <w:lang w:val="en-US"/>
    </w:rPr>
  </w:style>
  <w:style w:type="character" w:styleId="912" w:customStyle="1">
    <w:name w:val="Основной текст 2 Знак"/>
    <w:link w:val="911"/>
    <w:uiPriority w:val="99"/>
    <w:semiHidden/>
    <w:rPr>
      <w:rFonts w:eastAsia="Times New Roman"/>
      <w:sz w:val="20"/>
      <w:szCs w:val="20"/>
      <w:lang w:eastAsia="ru-RU"/>
    </w:rPr>
  </w:style>
  <w:style w:type="character" w:styleId="913" w:customStyle="1">
    <w:name w:val="Заголовок 2 Знак"/>
    <w:link w:val="722"/>
    <w:uiPriority w:val="9"/>
    <w:semiHidden/>
    <w:rPr>
      <w:rFonts w:ascii="Cambria" w:hAnsi="Cambria" w:eastAsia="Times New Roman" w:cs="Times New Roman"/>
      <w:b/>
      <w:bCs/>
      <w:color w:val="4f81bd"/>
      <w:sz w:val="26"/>
      <w:szCs w:val="26"/>
      <w:lang w:eastAsia="ru-RU"/>
    </w:rPr>
  </w:style>
  <w:style w:type="character" w:styleId="914" w:customStyle="1">
    <w:name w:val="Верхний колонтитул Знак"/>
    <w:link w:val="752"/>
    <w:uiPriority w:val="99"/>
    <w:semiHidden/>
    <w:rPr>
      <w:rFonts w:eastAsia="Times New Roman"/>
      <w:sz w:val="20"/>
      <w:szCs w:val="20"/>
      <w:lang w:eastAsia="ru-RU"/>
    </w:rPr>
  </w:style>
  <w:style w:type="character" w:styleId="915" w:customStyle="1">
    <w:name w:val="Нижний колонтитул Знак"/>
    <w:link w:val="754"/>
    <w:uiPriority w:val="99"/>
    <w:rPr>
      <w:rFonts w:eastAsia="Times New Roman"/>
      <w:sz w:val="20"/>
      <w:szCs w:val="20"/>
      <w:lang w:eastAsia="ru-RU"/>
    </w:rPr>
  </w:style>
  <w:style w:type="paragraph" w:styleId="916" w:customStyle="1">
    <w:name w:val="Style3"/>
    <w:basedOn w:val="720"/>
    <w:pPr>
      <w:ind w:firstLine="480"/>
      <w:jc w:val="both"/>
      <w:spacing w:line="221" w:lineRule="exact"/>
    </w:pPr>
    <w:rPr>
      <w:sz w:val="24"/>
      <w:szCs w:val="24"/>
    </w:rPr>
  </w:style>
  <w:style w:type="paragraph" w:styleId="917" w:customStyle="1">
    <w:name w:val="Style7"/>
    <w:basedOn w:val="720"/>
    <w:pPr>
      <w:ind w:firstLine="475"/>
      <w:jc w:val="both"/>
      <w:spacing w:line="226" w:lineRule="exact"/>
    </w:pPr>
    <w:rPr>
      <w:sz w:val="24"/>
      <w:szCs w:val="24"/>
    </w:rPr>
  </w:style>
  <w:style w:type="paragraph" w:styleId="918" w:customStyle="1">
    <w:name w:val="Style8"/>
    <w:basedOn w:val="720"/>
    <w:pPr>
      <w:jc w:val="both"/>
    </w:pPr>
    <w:rPr>
      <w:sz w:val="24"/>
      <w:szCs w:val="24"/>
    </w:rPr>
  </w:style>
  <w:style w:type="character" w:styleId="919" w:customStyle="1">
    <w:name w:val="Font Style37"/>
    <w:rPr>
      <w:rFonts w:ascii="Times New Roman" w:hAnsi="Times New Roman" w:cs="Times New Roman"/>
      <w:sz w:val="16"/>
      <w:szCs w:val="16"/>
    </w:rPr>
  </w:style>
  <w:style w:type="character" w:styleId="920" w:customStyle="1">
    <w:name w:val="Font Style38"/>
    <w:rPr>
      <w:rFonts w:ascii="Times New Roman" w:hAnsi="Times New Roman" w:cs="Times New Roman"/>
      <w:i/>
      <w:iCs/>
      <w:sz w:val="16"/>
      <w:szCs w:val="16"/>
    </w:rPr>
  </w:style>
  <w:style w:type="character" w:styleId="921" w:customStyle="1">
    <w:name w:val="Font Style12"/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922" w:customStyle="1">
    <w:name w:val="Обычный (веб)"/>
    <w:basedOn w:val="720"/>
    <w:uiPriority w:val="99"/>
    <w:unhideWhenUsed/>
    <w:pPr>
      <w:spacing w:before="100" w:beforeAutospacing="1" w:after="100" w:afterAutospacing="1"/>
      <w:widowControl/>
    </w:pPr>
    <w:rPr>
      <w:sz w:val="24"/>
      <w:szCs w:val="24"/>
    </w:rPr>
  </w:style>
  <w:style w:type="character" w:styleId="923" w:customStyle="1">
    <w:name w:val="apple-converted-space"/>
    <w:basedOn w:val="730"/>
  </w:style>
  <w:style w:type="paragraph" w:styleId="924" w:customStyle="1">
    <w:name w:val="Стиль По центру"/>
    <w:basedOn w:val="720"/>
    <w:link w:val="925"/>
    <w:pPr>
      <w:jc w:val="center"/>
      <w:widowControl/>
    </w:pPr>
    <w:rPr>
      <w:lang w:val="en-US"/>
    </w:rPr>
  </w:style>
  <w:style w:type="character" w:styleId="925" w:customStyle="1">
    <w:name w:val="Стиль По центру Знак"/>
    <w:link w:val="924"/>
    <w:rPr>
      <w:rFonts w:eastAsia="Times New Roman"/>
      <w:szCs w:val="20"/>
      <w:lang w:eastAsia="ru-RU"/>
    </w:rPr>
  </w:style>
  <w:style w:type="paragraph" w:styleId="926">
    <w:name w:val="Balloon Text"/>
    <w:basedOn w:val="720"/>
    <w:link w:val="927"/>
    <w:uiPriority w:val="99"/>
    <w:semiHidden/>
    <w:unhideWhenUsed/>
    <w:rPr>
      <w:rFonts w:ascii="Segoe UI" w:hAnsi="Segoe UI"/>
      <w:sz w:val="18"/>
      <w:szCs w:val="18"/>
      <w:lang w:val="en-US" w:eastAsia="en-US"/>
    </w:rPr>
  </w:style>
  <w:style w:type="character" w:styleId="927" w:customStyle="1">
    <w:name w:val="Текст выноски Знак"/>
    <w:link w:val="926"/>
    <w:uiPriority w:val="99"/>
    <w:semiHidden/>
    <w:rPr>
      <w:rFonts w:ascii="Segoe UI" w:hAnsi="Segoe UI" w:eastAsia="Times New Roman" w:cs="Segoe UI"/>
      <w:sz w:val="18"/>
      <w:szCs w:val="18"/>
    </w:rPr>
  </w:style>
  <w:style w:type="character" w:styleId="928">
    <w:name w:val="FollowedHyperlink"/>
    <w:uiPriority w:val="99"/>
    <w:semiHidden/>
    <w:unhideWhenUsed/>
    <w:rPr>
      <w:color w:val="954f72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hyperlink" Target="https://urait.ru/bcode/530652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ONLYOFFICE/7.2.1.36</Application>
  <Company>Krokoz™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revision>16</cp:revision>
  <dcterms:created xsi:type="dcterms:W3CDTF">2021-11-29T22:55:00Z</dcterms:created>
  <dcterms:modified xsi:type="dcterms:W3CDTF">2024-12-23T12:40:03Z</dcterms:modified>
  <cp:version>1048576</cp:version>
</cp:coreProperties>
</file>